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7453" w14:textId="0E72597F" w:rsidR="00AA6329" w:rsidRDefault="00AA6329" w:rsidP="00AA6329">
      <w:pPr>
        <w:jc w:val="right"/>
        <w:rPr>
          <w:b/>
          <w:bCs/>
        </w:rPr>
      </w:pPr>
      <w:r>
        <w:rPr>
          <w:b/>
          <w:bCs/>
          <w:noProof/>
        </w:rPr>
        <w:drawing>
          <wp:inline distT="0" distB="0" distL="0" distR="0" wp14:anchorId="53E0163B" wp14:editId="56C1BF02">
            <wp:extent cx="1963420" cy="1098565"/>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6190" cy="1116900"/>
                    </a:xfrm>
                    <a:prstGeom prst="rect">
                      <a:avLst/>
                    </a:prstGeom>
                  </pic:spPr>
                </pic:pic>
              </a:graphicData>
            </a:graphic>
          </wp:inline>
        </w:drawing>
      </w:r>
    </w:p>
    <w:p w14:paraId="6DFBC60F" w14:textId="75B101C2" w:rsidR="00AA6329" w:rsidRPr="00AA6329" w:rsidRDefault="00AA6329" w:rsidP="00AA6329">
      <w:pPr>
        <w:jc w:val="center"/>
        <w:rPr>
          <w:b/>
          <w:bCs/>
          <w:sz w:val="28"/>
          <w:szCs w:val="28"/>
        </w:rPr>
      </w:pPr>
      <w:r w:rsidRPr="00AA6329">
        <w:rPr>
          <w:b/>
          <w:bCs/>
          <w:sz w:val="28"/>
          <w:szCs w:val="28"/>
        </w:rPr>
        <w:t>Sub-contracting on Northumbria University Apprenticeship Programmes</w:t>
      </w:r>
    </w:p>
    <w:p w14:paraId="5BBEBE9E" w14:textId="597137EE" w:rsidR="00AA6329" w:rsidRDefault="00AA6329">
      <w:r w:rsidRPr="003077B0">
        <w:t>Apprentice training is delivered by the University or sub</w:t>
      </w:r>
      <w:r w:rsidR="003077B0">
        <w:t>-</w:t>
      </w:r>
      <w:r w:rsidRPr="003077B0">
        <w:t xml:space="preserve">contractors selected and monitored according to </w:t>
      </w:r>
      <w:r w:rsidR="003077B0" w:rsidRPr="003077B0">
        <w:t>the University’s sub</w:t>
      </w:r>
      <w:r w:rsidR="003077B0">
        <w:t>-</w:t>
      </w:r>
      <w:r w:rsidR="003077B0" w:rsidRPr="003077B0">
        <w:t>contracting policy</w:t>
      </w:r>
      <w:r w:rsidR="003077B0">
        <w:t>.  The rationale and governance of sub-contracting is approved by University Governance.</w:t>
      </w:r>
    </w:p>
    <w:p w14:paraId="5BE0334D" w14:textId="75F7D2DE" w:rsidR="00CA00F4" w:rsidRDefault="003077B0">
      <w:r>
        <w:t xml:space="preserve">The following rationales </w:t>
      </w:r>
      <w:r w:rsidR="0098612E">
        <w:t>have undergone the following scrutiny and endorsement</w:t>
      </w:r>
      <w:r w:rsidR="00CA00F4">
        <w:t>:</w:t>
      </w:r>
    </w:p>
    <w:p w14:paraId="21D7CE6A" w14:textId="4071DCF0" w:rsidR="00016027" w:rsidRDefault="00016027">
      <w:r>
        <w:t>Apprenticeship Steering Board: 09</w:t>
      </w:r>
      <w:r w:rsidR="0098612E" w:rsidRPr="0098612E">
        <w:rPr>
          <w:vertAlign w:val="superscript"/>
        </w:rPr>
        <w:t>th</w:t>
      </w:r>
      <w:r w:rsidR="0098612E">
        <w:t xml:space="preserve"> </w:t>
      </w:r>
      <w:r>
        <w:t>May 2022</w:t>
      </w:r>
    </w:p>
    <w:p w14:paraId="7F4589AF" w14:textId="4C7663A7" w:rsidR="00CA00F4" w:rsidRDefault="003077B0">
      <w:r>
        <w:t xml:space="preserve">University </w:t>
      </w:r>
      <w:r w:rsidR="00016027">
        <w:t>Executive</w:t>
      </w:r>
      <w:r w:rsidR="00CA00F4">
        <w:t xml:space="preserve">: </w:t>
      </w:r>
      <w:r w:rsidR="00016027">
        <w:t>2</w:t>
      </w:r>
      <w:r w:rsidR="0098612E">
        <w:t>7</w:t>
      </w:r>
      <w:r w:rsidR="0098612E" w:rsidRPr="0098612E">
        <w:rPr>
          <w:vertAlign w:val="superscript"/>
        </w:rPr>
        <w:t>th</w:t>
      </w:r>
      <w:r w:rsidR="0098612E">
        <w:t xml:space="preserve"> </w:t>
      </w:r>
      <w:r w:rsidR="00CA00F4">
        <w:t>May 2022</w:t>
      </w:r>
    </w:p>
    <w:p w14:paraId="71DA1E1F" w14:textId="141F6639" w:rsidR="003077B0" w:rsidRDefault="003077B0">
      <w:r>
        <w:t>Employment and Finance Committee</w:t>
      </w:r>
      <w:r w:rsidR="00CA00F4">
        <w:t xml:space="preserve">: </w:t>
      </w:r>
      <w:r w:rsidR="00B1760C">
        <w:t>(pending June 2022)</w:t>
      </w:r>
    </w:p>
    <w:p w14:paraId="7F0118EC" w14:textId="08E8B854" w:rsidR="003077B0" w:rsidRPr="003077B0" w:rsidRDefault="003077B0">
      <w:pPr>
        <w:rPr>
          <w:b/>
          <w:bCs/>
        </w:rPr>
      </w:pPr>
      <w:r w:rsidRPr="003077B0">
        <w:rPr>
          <w:b/>
          <w:bCs/>
        </w:rPr>
        <w:t>1.</w:t>
      </w:r>
      <w:r w:rsidRPr="003077B0">
        <w:rPr>
          <w:b/>
          <w:bCs/>
        </w:rPr>
        <w:tab/>
        <w:t xml:space="preserve">Rationale for </w:t>
      </w:r>
      <w:r>
        <w:rPr>
          <w:b/>
          <w:bCs/>
        </w:rPr>
        <w:t>S</w:t>
      </w:r>
      <w:r w:rsidRPr="003077B0">
        <w:rPr>
          <w:b/>
          <w:bCs/>
        </w:rPr>
        <w:t>ub-contracting</w:t>
      </w:r>
    </w:p>
    <w:p w14:paraId="1743240F" w14:textId="7F78FE1C" w:rsidR="00AA6329" w:rsidRPr="00AA6329" w:rsidRDefault="003077B0">
      <w:pPr>
        <w:rPr>
          <w:b/>
          <w:bCs/>
        </w:rPr>
      </w:pPr>
      <w:r>
        <w:rPr>
          <w:b/>
          <w:bCs/>
        </w:rPr>
        <w:t>1.1</w:t>
      </w:r>
      <w:r>
        <w:rPr>
          <w:b/>
          <w:bCs/>
        </w:rPr>
        <w:tab/>
      </w:r>
      <w:r w:rsidR="00AA6329" w:rsidRPr="00AA6329">
        <w:rPr>
          <w:b/>
          <w:bCs/>
        </w:rPr>
        <w:t>Police Constable DA</w:t>
      </w:r>
    </w:p>
    <w:p w14:paraId="05E9D1D4" w14:textId="2D9D0E7B" w:rsidR="00AA6329" w:rsidRPr="00AA6329" w:rsidRDefault="00AA6329">
      <w:pPr>
        <w:rPr>
          <w:b/>
          <w:bCs/>
        </w:rPr>
      </w:pPr>
      <w:r w:rsidRPr="00AA6329">
        <w:rPr>
          <w:b/>
          <w:bCs/>
        </w:rPr>
        <w:t>Partial Delivery sub-contracted to Northumbria Police and Durham Constabulary</w:t>
      </w:r>
      <w:r w:rsidR="00433955">
        <w:rPr>
          <w:b/>
          <w:bCs/>
        </w:rPr>
        <w:t xml:space="preserve"> (3 year programme)</w:t>
      </w:r>
    </w:p>
    <w:tbl>
      <w:tblPr>
        <w:tblStyle w:val="TableGrid"/>
        <w:tblW w:w="0" w:type="auto"/>
        <w:tblLook w:val="04A0" w:firstRow="1" w:lastRow="0" w:firstColumn="1" w:lastColumn="0" w:noHBand="0" w:noVBand="1"/>
      </w:tblPr>
      <w:tblGrid>
        <w:gridCol w:w="2733"/>
        <w:gridCol w:w="6283"/>
      </w:tblGrid>
      <w:tr w:rsidR="00AA6329" w14:paraId="098F553F" w14:textId="77777777" w:rsidTr="00174322">
        <w:tc>
          <w:tcPr>
            <w:tcW w:w="3125" w:type="dxa"/>
          </w:tcPr>
          <w:p w14:paraId="0B272ABC" w14:textId="2BBDD65C" w:rsidR="00AA6329" w:rsidRPr="00A75BE7" w:rsidRDefault="003077B0" w:rsidP="00174322">
            <w:pPr>
              <w:spacing w:after="0"/>
              <w:rPr>
                <w:b/>
                <w:bCs/>
              </w:rPr>
            </w:pPr>
            <w:r>
              <w:rPr>
                <w:b/>
                <w:bCs/>
              </w:rPr>
              <w:t xml:space="preserve">ESFA </w:t>
            </w:r>
            <w:r w:rsidR="00AA6329">
              <w:rPr>
                <w:b/>
                <w:bCs/>
              </w:rPr>
              <w:t>Criteria</w:t>
            </w:r>
          </w:p>
        </w:tc>
        <w:tc>
          <w:tcPr>
            <w:tcW w:w="5891" w:type="dxa"/>
          </w:tcPr>
          <w:p w14:paraId="789F1256" w14:textId="77777777" w:rsidR="00AA6329" w:rsidRPr="00841567" w:rsidRDefault="00AA6329" w:rsidP="00174322">
            <w:pPr>
              <w:spacing w:after="0" w:line="240" w:lineRule="auto"/>
              <w:jc w:val="both"/>
              <w:rPr>
                <w:rFonts w:eastAsia="Times New Roman" w:cstheme="minorHAnsi"/>
                <w:b/>
                <w:bCs/>
                <w:color w:val="000000"/>
                <w:shd w:val="clear" w:color="auto" w:fill="FFFFFF"/>
                <w:lang w:eastAsia="en-GB"/>
              </w:rPr>
            </w:pPr>
            <w:r>
              <w:rPr>
                <w:rFonts w:eastAsia="Times New Roman" w:cstheme="minorHAnsi"/>
                <w:b/>
                <w:bCs/>
                <w:color w:val="000000"/>
                <w:shd w:val="clear" w:color="auto" w:fill="FFFFFF"/>
                <w:lang w:eastAsia="en-GB"/>
              </w:rPr>
              <w:t>Rationale</w:t>
            </w:r>
          </w:p>
        </w:tc>
      </w:tr>
      <w:tr w:rsidR="00AA6329" w14:paraId="46558438" w14:textId="77777777" w:rsidTr="00174322">
        <w:tc>
          <w:tcPr>
            <w:tcW w:w="3125" w:type="dxa"/>
          </w:tcPr>
          <w:p w14:paraId="5AC609DB" w14:textId="77777777" w:rsidR="00AA6329" w:rsidRPr="007C0D32" w:rsidRDefault="00AA6329" w:rsidP="00174322">
            <w:pPr>
              <w:spacing w:after="0"/>
              <w:rPr>
                <w:i/>
                <w:iCs/>
              </w:rPr>
            </w:pPr>
            <w:r w:rsidRPr="007C0D32">
              <w:rPr>
                <w:i/>
                <w:iCs/>
              </w:rPr>
              <w:sym w:font="Symbol" w:char="F0B7"/>
            </w:r>
            <w:r w:rsidRPr="007C0D32">
              <w:rPr>
                <w:i/>
                <w:iCs/>
              </w:rPr>
              <w:t xml:space="preserve"> fill gaps in niche or expert provision, or provide better access to training facilities </w:t>
            </w:r>
          </w:p>
          <w:p w14:paraId="7A750AB2" w14:textId="77777777" w:rsidR="00AA6329" w:rsidRDefault="00AA6329" w:rsidP="00174322">
            <w:pPr>
              <w:spacing w:after="160" w:line="259" w:lineRule="auto"/>
              <w:rPr>
                <w:rFonts w:cstheme="minorHAnsi"/>
              </w:rPr>
            </w:pPr>
          </w:p>
        </w:tc>
        <w:tc>
          <w:tcPr>
            <w:tcW w:w="5891" w:type="dxa"/>
          </w:tcPr>
          <w:p w14:paraId="41316113" w14:textId="77777777" w:rsidR="00FD44E4" w:rsidRPr="0020292E" w:rsidRDefault="00FD44E4" w:rsidP="00FD44E4">
            <w:pPr>
              <w:spacing w:after="0" w:line="240" w:lineRule="auto"/>
              <w:ind w:left="567" w:right="545"/>
              <w:jc w:val="both"/>
              <w:rPr>
                <w:rFonts w:eastAsia="Times New Roman" w:cstheme="minorHAnsi"/>
                <w:color w:val="000000"/>
                <w:shd w:val="clear" w:color="auto" w:fill="FFFFFF"/>
                <w:lang w:eastAsia="en-GB"/>
              </w:rPr>
            </w:pPr>
            <w:r w:rsidRPr="0020292E">
              <w:rPr>
                <w:rFonts w:eastAsia="Times New Roman" w:cstheme="minorHAnsi"/>
                <w:b/>
                <w:bCs/>
                <w:color w:val="000000"/>
                <w:shd w:val="clear" w:color="auto" w:fill="FFFFFF"/>
                <w:lang w:eastAsia="en-GB"/>
              </w:rPr>
              <w:t>The University’s delivery follows the collaborative Police Force/Provider model as defined by the College of Policing (CoP) where:</w:t>
            </w:r>
          </w:p>
          <w:p w14:paraId="1E65F2BE" w14:textId="77777777" w:rsidR="00FD44E4" w:rsidRPr="0020292E" w:rsidRDefault="00FD44E4" w:rsidP="00FD44E4">
            <w:pPr>
              <w:spacing w:after="0" w:line="240" w:lineRule="auto"/>
              <w:ind w:left="567" w:right="545"/>
              <w:jc w:val="both"/>
              <w:rPr>
                <w:rFonts w:eastAsia="Times New Roman" w:cstheme="minorHAnsi"/>
                <w:lang w:eastAsia="en-GB"/>
              </w:rPr>
            </w:pPr>
          </w:p>
          <w:p w14:paraId="481E1886"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The HEI is the Awarding Body, the Main Training Provider, and the principal provider of final summative assessment.</w:t>
            </w:r>
          </w:p>
          <w:p w14:paraId="459F9AAE"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In England, the HEI needs to be on the Register of Apprenticeship Training Providers (</w:t>
            </w:r>
            <w:proofErr w:type="spellStart"/>
            <w:r w:rsidRPr="0020292E">
              <w:rPr>
                <w:rFonts w:eastAsia="Times New Roman" w:cstheme="minorHAnsi"/>
                <w:color w:val="000000"/>
                <w:shd w:val="clear" w:color="auto" w:fill="FFFFFF"/>
                <w:lang w:eastAsia="en-GB"/>
              </w:rPr>
              <w:t>RoATP</w:t>
            </w:r>
            <w:proofErr w:type="spellEnd"/>
            <w:r w:rsidRPr="0020292E">
              <w:rPr>
                <w:rFonts w:eastAsia="Times New Roman" w:cstheme="minorHAnsi"/>
                <w:color w:val="000000"/>
                <w:shd w:val="clear" w:color="auto" w:fill="FFFFFF"/>
                <w:lang w:eastAsia="en-GB"/>
              </w:rPr>
              <w:t xml:space="preserve">) - Northumbria University (UKPRN 1001282) was accepted onto the Register in April 2017 - see </w:t>
            </w:r>
            <w:hyperlink r:id="rId6" w:history="1">
              <w:r w:rsidRPr="0020292E">
                <w:rPr>
                  <w:rFonts w:eastAsia="Times New Roman" w:cstheme="minorHAnsi"/>
                  <w:color w:val="1155CC"/>
                  <w:u w:val="single"/>
                  <w:shd w:val="clear" w:color="auto" w:fill="FFFFFF"/>
                  <w:lang w:eastAsia="en-GB"/>
                </w:rPr>
                <w:t>https://roatp.apprenticeships.sfa.bis.gov.uk/download</w:t>
              </w:r>
            </w:hyperlink>
            <w:r w:rsidRPr="0020292E">
              <w:rPr>
                <w:rFonts w:eastAsia="Times New Roman" w:cstheme="minorHAnsi"/>
                <w:color w:val="000000"/>
                <w:shd w:val="clear" w:color="auto" w:fill="FFFFFF"/>
                <w:lang w:eastAsia="en-GB"/>
              </w:rPr>
              <w:t>.</w:t>
            </w:r>
          </w:p>
          <w:p w14:paraId="16FDE26D"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Programmes jointly developed with forces and delivered by both academic and police personnel.</w:t>
            </w:r>
          </w:p>
          <w:p w14:paraId="24E42194"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Programmes approved/validated and recognised through HEI processes and linked to the College of Policing QSA.</w:t>
            </w:r>
          </w:p>
          <w:p w14:paraId="5EE8E429"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Assessment conducted by force and HEI.</w:t>
            </w:r>
          </w:p>
          <w:p w14:paraId="2785D7FB"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For England, Independent end point assessment conducted by an organisation that is on the Register of End Point Assessment Organisations.</w:t>
            </w:r>
          </w:p>
          <w:p w14:paraId="54BB7EEA" w14:textId="77777777" w:rsidR="00FD44E4" w:rsidRPr="0020292E" w:rsidRDefault="00FD44E4" w:rsidP="00FD44E4">
            <w:pPr>
              <w:numPr>
                <w:ilvl w:val="0"/>
                <w:numId w:val="1"/>
              </w:num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lastRenderedPageBreak/>
              <w:t xml:space="preserve">Quality Assurance managed under HEI processes (QAA and internal) and in line with </w:t>
            </w:r>
            <w:proofErr w:type="spellStart"/>
            <w:r w:rsidRPr="0020292E">
              <w:rPr>
                <w:rFonts w:eastAsia="Times New Roman" w:cstheme="minorHAnsi"/>
                <w:color w:val="000000"/>
                <w:shd w:val="clear" w:color="auto" w:fill="FFFFFF"/>
                <w:lang w:eastAsia="en-GB"/>
              </w:rPr>
              <w:t>IfATE</w:t>
            </w:r>
            <w:proofErr w:type="spellEnd"/>
            <w:r w:rsidRPr="0020292E">
              <w:rPr>
                <w:rFonts w:eastAsia="Times New Roman" w:cstheme="minorHAnsi"/>
                <w:color w:val="000000"/>
                <w:shd w:val="clear" w:color="auto" w:fill="FFFFFF"/>
                <w:lang w:eastAsia="en-GB"/>
              </w:rPr>
              <w:t>/ESFA and Welsh Government requirements for apprenticeships.</w:t>
            </w:r>
          </w:p>
          <w:p w14:paraId="3800C2D5" w14:textId="77777777" w:rsidR="00FD44E4" w:rsidRPr="0020292E" w:rsidRDefault="00FD44E4" w:rsidP="00FD44E4">
            <w:pPr>
              <w:shd w:val="clear" w:color="auto" w:fill="FFFFFF"/>
              <w:spacing w:after="0" w:line="240" w:lineRule="auto"/>
              <w:ind w:left="567" w:right="545"/>
              <w:jc w:val="both"/>
              <w:textAlignment w:val="baseline"/>
              <w:rPr>
                <w:rFonts w:eastAsia="Times New Roman" w:cstheme="minorHAnsi"/>
                <w:color w:val="000000"/>
                <w:shd w:val="clear" w:color="auto" w:fill="FFFFFF"/>
                <w:lang w:eastAsia="en-GB"/>
              </w:rPr>
            </w:pPr>
            <w:r w:rsidRPr="0020292E">
              <w:rPr>
                <w:rFonts w:eastAsia="Times New Roman" w:cstheme="minorHAnsi"/>
                <w:color w:val="000000"/>
                <w:shd w:val="clear" w:color="auto" w:fill="FFFFFF"/>
                <w:lang w:eastAsia="en-GB"/>
              </w:rPr>
              <w:t>(PEQF Police Constable Degree Apprenticeship National Programme Specification p27).</w:t>
            </w:r>
          </w:p>
          <w:p w14:paraId="103F2778" w14:textId="77777777" w:rsidR="00FD44E4" w:rsidRPr="0020292E" w:rsidRDefault="00FD44E4" w:rsidP="00FD44E4">
            <w:pPr>
              <w:shd w:val="clear" w:color="auto" w:fill="FFFFFF"/>
              <w:spacing w:after="0" w:line="240" w:lineRule="auto"/>
              <w:ind w:left="567" w:right="545"/>
              <w:jc w:val="both"/>
              <w:textAlignment w:val="baseline"/>
              <w:rPr>
                <w:rFonts w:eastAsia="Times New Roman" w:cstheme="minorHAnsi"/>
                <w:color w:val="000000"/>
                <w:shd w:val="clear" w:color="auto" w:fill="FFFFFF"/>
                <w:lang w:eastAsia="en-GB"/>
              </w:rPr>
            </w:pPr>
          </w:p>
          <w:p w14:paraId="61D9E203" w14:textId="77777777" w:rsidR="00FD44E4" w:rsidRPr="0020292E" w:rsidRDefault="00FD44E4" w:rsidP="00FD44E4">
            <w:p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 xml:space="preserve">The subcontracted elements of the programme are those which are identified as ‘reserved’ by the </w:t>
            </w:r>
            <w:proofErr w:type="spellStart"/>
            <w:r w:rsidRPr="0020292E">
              <w:rPr>
                <w:rFonts w:eastAsia="Times New Roman" w:cstheme="minorHAnsi"/>
                <w:color w:val="000000"/>
                <w:shd w:val="clear" w:color="auto" w:fill="FFFFFF"/>
                <w:lang w:eastAsia="en-GB"/>
              </w:rPr>
              <w:t>CoP.</w:t>
            </w:r>
            <w:proofErr w:type="spellEnd"/>
            <w:r w:rsidRPr="0020292E">
              <w:rPr>
                <w:rFonts w:eastAsia="Times New Roman" w:cstheme="minorHAnsi"/>
                <w:color w:val="000000"/>
                <w:shd w:val="clear" w:color="auto" w:fill="FFFFFF"/>
                <w:lang w:eastAsia="en-GB"/>
              </w:rPr>
              <w:t xml:space="preserve"> These are the areas of the curriculum which are suitable only for delivery by the police service due to the specific professional nature of the learning. </w:t>
            </w:r>
          </w:p>
          <w:p w14:paraId="7EC06880" w14:textId="77777777" w:rsidR="00FD44E4" w:rsidRPr="0020292E" w:rsidRDefault="00FD44E4" w:rsidP="00FD44E4">
            <w:pPr>
              <w:shd w:val="clear" w:color="auto" w:fill="FFFFFF"/>
              <w:spacing w:after="0" w:line="240" w:lineRule="auto"/>
              <w:ind w:left="567" w:right="545"/>
              <w:jc w:val="both"/>
              <w:textAlignment w:val="baseline"/>
              <w:rPr>
                <w:rFonts w:eastAsia="Times New Roman" w:cstheme="minorHAnsi"/>
                <w:color w:val="000000"/>
                <w:lang w:eastAsia="en-GB"/>
              </w:rPr>
            </w:pPr>
          </w:p>
          <w:p w14:paraId="271406CC" w14:textId="7691A69E" w:rsidR="00AA6329" w:rsidRPr="00FD44E4" w:rsidRDefault="00FD44E4" w:rsidP="00FD44E4">
            <w:pPr>
              <w:shd w:val="clear" w:color="auto" w:fill="FFFFFF"/>
              <w:spacing w:after="0" w:line="240" w:lineRule="auto"/>
              <w:ind w:left="567" w:right="545"/>
              <w:jc w:val="both"/>
              <w:textAlignment w:val="baseline"/>
              <w:rPr>
                <w:rFonts w:eastAsia="Times New Roman" w:cstheme="minorHAnsi"/>
                <w:color w:val="000000"/>
                <w:lang w:eastAsia="en-GB"/>
              </w:rPr>
            </w:pPr>
            <w:r w:rsidRPr="0020292E">
              <w:rPr>
                <w:rFonts w:eastAsia="Times New Roman" w:cstheme="minorHAnsi"/>
                <w:color w:val="000000"/>
                <w:shd w:val="clear" w:color="auto" w:fill="FFFFFF"/>
                <w:lang w:eastAsia="en-GB"/>
              </w:rPr>
              <w:t>All police service delivery is managed by professional trainers within the employer force, supported by the HE provider as appropriate.</w:t>
            </w:r>
          </w:p>
        </w:tc>
      </w:tr>
    </w:tbl>
    <w:p w14:paraId="3283F3A7" w14:textId="38448433" w:rsidR="00AA6329" w:rsidRDefault="00AA6329"/>
    <w:p w14:paraId="0633A9CD" w14:textId="0DF9DBE8" w:rsidR="00AA6329" w:rsidRPr="00A6367F" w:rsidRDefault="003077B0" w:rsidP="00AA6329">
      <w:pPr>
        <w:pStyle w:val="NormalWeb"/>
      </w:pPr>
      <w:r>
        <w:rPr>
          <w:b/>
          <w:bCs/>
        </w:rPr>
        <w:t>1.2</w:t>
      </w:r>
      <w:r>
        <w:rPr>
          <w:b/>
          <w:bCs/>
        </w:rPr>
        <w:tab/>
      </w:r>
      <w:r w:rsidR="00AA6329" w:rsidRPr="00A6367F">
        <w:rPr>
          <w:b/>
          <w:bCs/>
        </w:rPr>
        <w:t xml:space="preserve">BSc (Hons) Nursing Science, Registered Nurse (Adult) Degree Apprenticeship </w:t>
      </w:r>
    </w:p>
    <w:p w14:paraId="0705BF45" w14:textId="5D741EAC" w:rsidR="00AA6329" w:rsidRPr="00A6367F" w:rsidRDefault="00AA6329" w:rsidP="00AA6329">
      <w:pPr>
        <w:pStyle w:val="NormalWeb"/>
      </w:pPr>
      <w:r w:rsidRPr="00A6367F">
        <w:rPr>
          <w:b/>
          <w:bCs/>
        </w:rPr>
        <w:t>Partial delivery sub-contracted to Lancashire Teaching Hospitals NHS Foundation Trust</w:t>
      </w:r>
      <w:r w:rsidR="00433955">
        <w:rPr>
          <w:b/>
          <w:bCs/>
        </w:rPr>
        <w:t xml:space="preserve"> (18 month programme)</w:t>
      </w:r>
    </w:p>
    <w:tbl>
      <w:tblPr>
        <w:tblStyle w:val="TableGrid"/>
        <w:tblW w:w="0" w:type="auto"/>
        <w:tblLook w:val="04A0" w:firstRow="1" w:lastRow="0" w:firstColumn="1" w:lastColumn="0" w:noHBand="0" w:noVBand="1"/>
      </w:tblPr>
      <w:tblGrid>
        <w:gridCol w:w="3125"/>
        <w:gridCol w:w="5891"/>
      </w:tblGrid>
      <w:tr w:rsidR="00AA6329" w:rsidRPr="00A75BE7" w14:paraId="16773880" w14:textId="77777777" w:rsidTr="00174322">
        <w:trPr>
          <w:trHeight w:val="439"/>
        </w:trPr>
        <w:tc>
          <w:tcPr>
            <w:tcW w:w="3125" w:type="dxa"/>
            <w:tcBorders>
              <w:bottom w:val="single" w:sz="4" w:space="0" w:color="auto"/>
            </w:tcBorders>
          </w:tcPr>
          <w:p w14:paraId="02876A79" w14:textId="77777777" w:rsidR="00AA6329" w:rsidRPr="00A75BE7" w:rsidRDefault="00AA6329" w:rsidP="00174322">
            <w:pPr>
              <w:spacing w:after="0"/>
              <w:rPr>
                <w:b/>
                <w:bCs/>
              </w:rPr>
            </w:pPr>
            <w:r w:rsidRPr="00A75BE7">
              <w:rPr>
                <w:b/>
                <w:bCs/>
              </w:rPr>
              <w:t>ESFA Criteria</w:t>
            </w:r>
          </w:p>
        </w:tc>
        <w:tc>
          <w:tcPr>
            <w:tcW w:w="5891" w:type="dxa"/>
            <w:tcBorders>
              <w:bottom w:val="single" w:sz="4" w:space="0" w:color="auto"/>
            </w:tcBorders>
          </w:tcPr>
          <w:p w14:paraId="200C6479" w14:textId="3C621AFC" w:rsidR="00AA6329" w:rsidRPr="00A75BE7" w:rsidRDefault="003077B0" w:rsidP="00174322">
            <w:pPr>
              <w:rPr>
                <w:b/>
                <w:bCs/>
              </w:rPr>
            </w:pPr>
            <w:r>
              <w:rPr>
                <w:b/>
                <w:bCs/>
              </w:rPr>
              <w:t>Rationale</w:t>
            </w:r>
          </w:p>
        </w:tc>
      </w:tr>
      <w:tr w:rsidR="00AA6329" w14:paraId="3E000D22" w14:textId="77777777" w:rsidTr="00174322">
        <w:tc>
          <w:tcPr>
            <w:tcW w:w="3125" w:type="dxa"/>
            <w:tcBorders>
              <w:bottom w:val="single" w:sz="4" w:space="0" w:color="auto"/>
            </w:tcBorders>
          </w:tcPr>
          <w:p w14:paraId="76BF3600" w14:textId="77777777" w:rsidR="00AA6329" w:rsidRPr="007C0D32" w:rsidRDefault="00AA6329" w:rsidP="00174322">
            <w:pPr>
              <w:spacing w:after="0"/>
              <w:rPr>
                <w:i/>
                <w:iCs/>
              </w:rPr>
            </w:pPr>
            <w:r w:rsidRPr="007C0D32">
              <w:rPr>
                <w:i/>
                <w:iCs/>
              </w:rPr>
              <w:sym w:font="Symbol" w:char="F0B7"/>
            </w:r>
            <w:r w:rsidRPr="007C0D32">
              <w:rPr>
                <w:i/>
                <w:iCs/>
              </w:rPr>
              <w:t xml:space="preserve"> fill gaps in niche or expert provision, or provide better access to training facilities </w:t>
            </w:r>
          </w:p>
          <w:p w14:paraId="2087A459" w14:textId="77777777" w:rsidR="00AA6329" w:rsidRDefault="00AA6329" w:rsidP="00174322">
            <w:pPr>
              <w:spacing w:after="0"/>
              <w:rPr>
                <w:rFonts w:cstheme="minorHAnsi"/>
              </w:rPr>
            </w:pPr>
          </w:p>
        </w:tc>
        <w:tc>
          <w:tcPr>
            <w:tcW w:w="5891" w:type="dxa"/>
            <w:tcBorders>
              <w:bottom w:val="single" w:sz="4" w:space="0" w:color="auto"/>
            </w:tcBorders>
          </w:tcPr>
          <w:p w14:paraId="0EB8B809" w14:textId="77777777" w:rsidR="00AA6329" w:rsidRDefault="00AA6329" w:rsidP="00174322">
            <w:pPr>
              <w:rPr>
                <w:color w:val="000000"/>
              </w:rPr>
            </w:pPr>
            <w:r>
              <w:t xml:space="preserve">The Nursing Apprenticeship provided Lancashire NHS Trust with an opportunity to address their shortage of nursing staff by taking Nurse Associates and Assistant Practitioners to qualified nurse status in a shortened timescale.  The plan was supported by </w:t>
            </w:r>
            <w:r>
              <w:rPr>
                <w:color w:val="000000"/>
              </w:rPr>
              <w:t>South Cumbria Local Workforce Action Board</w:t>
            </w:r>
            <w:r>
              <w:t xml:space="preserve"> (</w:t>
            </w:r>
            <w:r>
              <w:rPr>
                <w:color w:val="000000"/>
              </w:rPr>
              <w:t>LWAB) as it aligned to their strategy to work with Universities and Colleges to create opportunities and pathways for local students to study and work in the area (</w:t>
            </w:r>
            <w:proofErr w:type="gramStart"/>
            <w:r>
              <w:rPr>
                <w:color w:val="000000"/>
              </w:rPr>
              <w:t>LWAB  –</w:t>
            </w:r>
            <w:proofErr w:type="gramEnd"/>
            <w:r>
              <w:rPr>
                <w:color w:val="000000"/>
              </w:rPr>
              <w:t xml:space="preserve"> Our Workforce Strategy 2019).</w:t>
            </w:r>
          </w:p>
          <w:p w14:paraId="5F78F29B" w14:textId="77777777" w:rsidR="00AA6329" w:rsidRPr="00CC358F" w:rsidRDefault="00AA6329" w:rsidP="00174322">
            <w:pPr>
              <w:rPr>
                <w:color w:val="000000"/>
              </w:rPr>
            </w:pPr>
            <w:r>
              <w:rPr>
                <w:color w:val="000000"/>
              </w:rPr>
              <w:t xml:space="preserve">At that time Northumbria University was the only provider who could offer the programme over 18 months rather than 2 years.  As time was a critical factor, Northumbria was the chosen partner for the initiative and a co-delivery model was developed between the two organisations. </w:t>
            </w:r>
          </w:p>
        </w:tc>
      </w:tr>
      <w:tr w:rsidR="00AA6329" w14:paraId="52FC5785" w14:textId="77777777" w:rsidTr="00174322">
        <w:tc>
          <w:tcPr>
            <w:tcW w:w="3125" w:type="dxa"/>
            <w:tcBorders>
              <w:bottom w:val="single" w:sz="4" w:space="0" w:color="auto"/>
            </w:tcBorders>
          </w:tcPr>
          <w:p w14:paraId="2304AF9D" w14:textId="77777777" w:rsidR="00AA6329" w:rsidRDefault="00AA6329" w:rsidP="00174322">
            <w:pPr>
              <w:spacing w:after="0"/>
              <w:rPr>
                <w:i/>
                <w:iCs/>
              </w:rPr>
            </w:pPr>
            <w:r w:rsidRPr="007C0D32">
              <w:rPr>
                <w:i/>
                <w:iCs/>
              </w:rPr>
              <w:sym w:font="Symbol" w:char="F0B7"/>
            </w:r>
            <w:r w:rsidRPr="007C0D32">
              <w:rPr>
                <w:i/>
                <w:iCs/>
              </w:rPr>
              <w:t xml:space="preserve"> offer an entry point for disadvantaged groups </w:t>
            </w:r>
          </w:p>
          <w:p w14:paraId="05D1E0D9" w14:textId="77777777" w:rsidR="00AA6329" w:rsidRPr="007C0D32" w:rsidRDefault="00AA6329" w:rsidP="00174322">
            <w:pPr>
              <w:spacing w:after="0"/>
              <w:rPr>
                <w:i/>
                <w:iCs/>
              </w:rPr>
            </w:pPr>
          </w:p>
        </w:tc>
        <w:tc>
          <w:tcPr>
            <w:tcW w:w="5891" w:type="dxa"/>
            <w:tcBorders>
              <w:bottom w:val="single" w:sz="4" w:space="0" w:color="auto"/>
            </w:tcBorders>
          </w:tcPr>
          <w:p w14:paraId="5FAB8AE5" w14:textId="77777777" w:rsidR="00AA6329" w:rsidRDefault="00AA6329" w:rsidP="00174322">
            <w:pPr>
              <w:rPr>
                <w:rFonts w:cstheme="minorHAnsi"/>
              </w:rPr>
            </w:pPr>
            <w:r>
              <w:rPr>
                <w:color w:val="000000"/>
              </w:rPr>
              <w:t xml:space="preserve">The Lancashire Trust 18 month Degree Apprenticeship programme provides an opportunity for existing staff to upskill and progress to Qualified Nurse status within the Trust.  Many of the staff who undertake the programme are mature learners with dependant families.  They have the desire to become a qualified nurse but are disadvantaged in that they do not have the financial means to embark on a traditional 3-year Nursing </w:t>
            </w:r>
            <w:r>
              <w:rPr>
                <w:color w:val="000000"/>
              </w:rPr>
              <w:lastRenderedPageBreak/>
              <w:t>programme.  The apprenticeship provides continuity of income and employment with the Trust.</w:t>
            </w:r>
          </w:p>
        </w:tc>
      </w:tr>
    </w:tbl>
    <w:p w14:paraId="35B66B79" w14:textId="77777777" w:rsidR="00AA6329" w:rsidRDefault="00AA6329" w:rsidP="00AA6329">
      <w:pPr>
        <w:pStyle w:val="xxmsobodytext2"/>
        <w:ind w:left="360"/>
        <w:rPr>
          <w:rFonts w:asciiTheme="minorHAnsi" w:hAnsiTheme="minorHAnsi" w:cstheme="minorHAnsi"/>
          <w:b/>
          <w:bCs/>
          <w:sz w:val="22"/>
          <w:szCs w:val="22"/>
        </w:rPr>
      </w:pPr>
    </w:p>
    <w:p w14:paraId="273783BD" w14:textId="17CD828E" w:rsidR="000D5127" w:rsidRDefault="000D5127">
      <w:pPr>
        <w:spacing w:after="160" w:line="259" w:lineRule="auto"/>
        <w:rPr>
          <w:rFonts w:cstheme="minorHAnsi"/>
          <w:b/>
          <w:bCs/>
          <w:lang w:eastAsia="en-GB"/>
        </w:rPr>
      </w:pPr>
      <w:r>
        <w:rPr>
          <w:rFonts w:cstheme="minorHAnsi"/>
          <w:b/>
          <w:bCs/>
        </w:rPr>
        <w:br w:type="page"/>
      </w:r>
    </w:p>
    <w:p w14:paraId="42164B9E" w14:textId="77777777" w:rsidR="003077B0" w:rsidRDefault="003077B0" w:rsidP="00AA6329">
      <w:pPr>
        <w:pStyle w:val="xxmsobodytext2"/>
        <w:rPr>
          <w:rFonts w:asciiTheme="minorHAnsi" w:hAnsiTheme="minorHAnsi" w:cstheme="minorHAnsi"/>
          <w:b/>
          <w:bCs/>
          <w:sz w:val="22"/>
          <w:szCs w:val="22"/>
        </w:rPr>
      </w:pPr>
    </w:p>
    <w:p w14:paraId="3245D8D9" w14:textId="0A015438" w:rsidR="00AA6329" w:rsidRPr="00841567" w:rsidRDefault="003077B0" w:rsidP="00AA6329">
      <w:pPr>
        <w:pStyle w:val="xxmsobodytext2"/>
        <w:rPr>
          <w:rFonts w:asciiTheme="minorHAnsi" w:hAnsiTheme="minorHAnsi" w:cstheme="minorHAnsi"/>
          <w:b/>
          <w:bCs/>
          <w:sz w:val="22"/>
          <w:szCs w:val="22"/>
        </w:rPr>
      </w:pPr>
      <w:r>
        <w:rPr>
          <w:rFonts w:asciiTheme="minorHAnsi" w:hAnsiTheme="minorHAnsi" w:cstheme="minorHAnsi"/>
          <w:b/>
          <w:bCs/>
          <w:sz w:val="22"/>
          <w:szCs w:val="22"/>
        </w:rPr>
        <w:t>1.3</w:t>
      </w:r>
      <w:r>
        <w:rPr>
          <w:rFonts w:asciiTheme="minorHAnsi" w:hAnsiTheme="minorHAnsi" w:cstheme="minorHAnsi"/>
          <w:b/>
          <w:bCs/>
          <w:sz w:val="22"/>
          <w:szCs w:val="22"/>
        </w:rPr>
        <w:tab/>
      </w:r>
      <w:r w:rsidR="00AA6329" w:rsidRPr="00841567">
        <w:rPr>
          <w:rFonts w:asciiTheme="minorHAnsi" w:hAnsiTheme="minorHAnsi" w:cstheme="minorHAnsi"/>
          <w:b/>
          <w:bCs/>
          <w:sz w:val="22"/>
          <w:szCs w:val="22"/>
        </w:rPr>
        <w:t>Level 2 Math</w:t>
      </w:r>
      <w:r w:rsidR="00AA6329">
        <w:rPr>
          <w:rFonts w:asciiTheme="minorHAnsi" w:hAnsiTheme="minorHAnsi" w:cstheme="minorHAnsi"/>
          <w:b/>
          <w:bCs/>
          <w:sz w:val="22"/>
          <w:szCs w:val="22"/>
        </w:rPr>
        <w:t>ematics</w:t>
      </w:r>
      <w:r w:rsidR="00AA6329" w:rsidRPr="00841567">
        <w:rPr>
          <w:rFonts w:asciiTheme="minorHAnsi" w:hAnsiTheme="minorHAnsi" w:cstheme="minorHAnsi"/>
          <w:b/>
          <w:bCs/>
          <w:sz w:val="22"/>
          <w:szCs w:val="22"/>
        </w:rPr>
        <w:t xml:space="preserve"> and English Provision</w:t>
      </w:r>
    </w:p>
    <w:p w14:paraId="3C9CD925" w14:textId="77777777" w:rsidR="00AA6329" w:rsidRPr="00841567" w:rsidRDefault="00AA6329" w:rsidP="00AA6329">
      <w:pPr>
        <w:pStyle w:val="xxmsobodytext2"/>
        <w:ind w:left="360"/>
        <w:rPr>
          <w:rFonts w:asciiTheme="minorHAnsi" w:hAnsiTheme="minorHAnsi" w:cstheme="minorHAnsi"/>
          <w:b/>
          <w:bCs/>
          <w:sz w:val="22"/>
          <w:szCs w:val="22"/>
        </w:rPr>
      </w:pPr>
    </w:p>
    <w:tbl>
      <w:tblPr>
        <w:tblStyle w:val="TableGrid"/>
        <w:tblW w:w="9072" w:type="dxa"/>
        <w:tblInd w:w="-5" w:type="dxa"/>
        <w:tblLook w:val="04A0" w:firstRow="1" w:lastRow="0" w:firstColumn="1" w:lastColumn="0" w:noHBand="0" w:noVBand="1"/>
      </w:tblPr>
      <w:tblGrid>
        <w:gridCol w:w="3888"/>
        <w:gridCol w:w="5184"/>
      </w:tblGrid>
      <w:tr w:rsidR="00AA6329" w:rsidRPr="00A75BE7" w14:paraId="68E1CDE6" w14:textId="77777777" w:rsidTr="00174322">
        <w:tc>
          <w:tcPr>
            <w:tcW w:w="3888" w:type="dxa"/>
          </w:tcPr>
          <w:p w14:paraId="5CFA885F" w14:textId="17C5B32B" w:rsidR="00AA6329" w:rsidRPr="00A75BE7" w:rsidRDefault="003077B0" w:rsidP="00174322">
            <w:pPr>
              <w:spacing w:after="0"/>
              <w:rPr>
                <w:b/>
                <w:bCs/>
              </w:rPr>
            </w:pPr>
            <w:r>
              <w:rPr>
                <w:rFonts w:cstheme="minorHAnsi"/>
                <w:b/>
                <w:bCs/>
                <w:i/>
                <w:iCs/>
              </w:rPr>
              <w:t xml:space="preserve"> </w:t>
            </w:r>
            <w:r w:rsidR="00AA6329" w:rsidRPr="00A75BE7">
              <w:rPr>
                <w:b/>
                <w:bCs/>
              </w:rPr>
              <w:t>ESFA Criteria</w:t>
            </w:r>
          </w:p>
        </w:tc>
        <w:tc>
          <w:tcPr>
            <w:tcW w:w="5184" w:type="dxa"/>
          </w:tcPr>
          <w:p w14:paraId="124E821A" w14:textId="350966AB" w:rsidR="00AA6329" w:rsidRPr="00A75BE7" w:rsidRDefault="000D5127" w:rsidP="00174322">
            <w:pPr>
              <w:pStyle w:val="xxmsobodytext2"/>
              <w:ind w:left="360"/>
              <w:rPr>
                <w:rFonts w:asciiTheme="minorHAnsi" w:hAnsiTheme="minorHAnsi" w:cstheme="minorHAnsi"/>
                <w:b/>
                <w:bCs/>
                <w:sz w:val="22"/>
                <w:szCs w:val="22"/>
              </w:rPr>
            </w:pPr>
            <w:r>
              <w:rPr>
                <w:rFonts w:asciiTheme="minorHAnsi" w:hAnsiTheme="minorHAnsi" w:cstheme="minorHAnsi"/>
                <w:b/>
                <w:bCs/>
                <w:sz w:val="22"/>
                <w:szCs w:val="22"/>
              </w:rPr>
              <w:t>Rationale</w:t>
            </w:r>
          </w:p>
        </w:tc>
      </w:tr>
      <w:tr w:rsidR="00AA6329" w14:paraId="41730CEB" w14:textId="77777777" w:rsidTr="00174322">
        <w:tc>
          <w:tcPr>
            <w:tcW w:w="3888" w:type="dxa"/>
          </w:tcPr>
          <w:p w14:paraId="39A4E212" w14:textId="77777777" w:rsidR="00AA6329" w:rsidRPr="007C0D32" w:rsidRDefault="00AA6329" w:rsidP="00174322">
            <w:pPr>
              <w:spacing w:after="0"/>
              <w:rPr>
                <w:i/>
                <w:iCs/>
              </w:rPr>
            </w:pPr>
            <w:r w:rsidRPr="007C0D32">
              <w:rPr>
                <w:i/>
                <w:iCs/>
              </w:rPr>
              <w:sym w:font="Symbol" w:char="F0B7"/>
            </w:r>
            <w:r w:rsidRPr="007C0D32">
              <w:rPr>
                <w:i/>
                <w:iCs/>
              </w:rPr>
              <w:t xml:space="preserve"> fill gaps in niche or expert provision, or provide better access to training facilities </w:t>
            </w:r>
          </w:p>
          <w:p w14:paraId="0581AD80" w14:textId="77777777" w:rsidR="00AA6329" w:rsidRDefault="00AA6329" w:rsidP="00174322">
            <w:pPr>
              <w:pStyle w:val="xxmsobodytext2"/>
              <w:ind w:left="-480" w:firstLine="480"/>
              <w:rPr>
                <w:rFonts w:asciiTheme="minorHAnsi" w:hAnsiTheme="minorHAnsi" w:cstheme="minorHAnsi"/>
                <w:sz w:val="22"/>
                <w:szCs w:val="22"/>
              </w:rPr>
            </w:pPr>
          </w:p>
        </w:tc>
        <w:tc>
          <w:tcPr>
            <w:tcW w:w="5184" w:type="dxa"/>
          </w:tcPr>
          <w:p w14:paraId="5AE9BC9F" w14:textId="104C9A5D" w:rsidR="00AA6329" w:rsidRPr="00841567" w:rsidRDefault="00AA6329" w:rsidP="00174322">
            <w:pPr>
              <w:pStyle w:val="xxmsobodytext2"/>
              <w:ind w:left="360"/>
              <w:rPr>
                <w:rFonts w:asciiTheme="minorHAnsi" w:hAnsiTheme="minorHAnsi" w:cstheme="minorHAnsi"/>
                <w:sz w:val="22"/>
                <w:szCs w:val="22"/>
              </w:rPr>
            </w:pPr>
            <w:r w:rsidRPr="00841567">
              <w:rPr>
                <w:rFonts w:asciiTheme="minorHAnsi" w:hAnsiTheme="minorHAnsi" w:cstheme="minorHAnsi"/>
                <w:sz w:val="22"/>
                <w:szCs w:val="22"/>
              </w:rPr>
              <w:t>The University is not an approved level 2 testing centre therefore level 2 Math</w:t>
            </w:r>
            <w:r>
              <w:rPr>
                <w:rFonts w:asciiTheme="minorHAnsi" w:hAnsiTheme="minorHAnsi" w:cstheme="minorHAnsi"/>
                <w:sz w:val="22"/>
                <w:szCs w:val="22"/>
              </w:rPr>
              <w:t>ematics</w:t>
            </w:r>
            <w:r w:rsidRPr="00841567">
              <w:rPr>
                <w:rFonts w:asciiTheme="minorHAnsi" w:hAnsiTheme="minorHAnsi" w:cstheme="minorHAnsi"/>
                <w:sz w:val="22"/>
                <w:szCs w:val="22"/>
              </w:rPr>
              <w:t xml:space="preserve"> and English provision is sub-contracted to an</w:t>
            </w:r>
            <w:r>
              <w:rPr>
                <w:rFonts w:asciiTheme="minorHAnsi" w:hAnsiTheme="minorHAnsi" w:cstheme="minorHAnsi"/>
                <w:sz w:val="22"/>
                <w:szCs w:val="22"/>
              </w:rPr>
              <w:t xml:space="preserve"> appropriate o</w:t>
            </w:r>
            <w:r w:rsidRPr="00841567">
              <w:rPr>
                <w:rFonts w:asciiTheme="minorHAnsi" w:hAnsiTheme="minorHAnsi" w:cstheme="minorHAnsi"/>
                <w:sz w:val="22"/>
                <w:szCs w:val="22"/>
              </w:rPr>
              <w:t xml:space="preserve">rganisation.   Currently this </w:t>
            </w:r>
            <w:r w:rsidR="003077B0">
              <w:rPr>
                <w:rFonts w:asciiTheme="minorHAnsi" w:hAnsiTheme="minorHAnsi" w:cstheme="minorHAnsi"/>
                <w:sz w:val="22"/>
                <w:szCs w:val="22"/>
              </w:rPr>
              <w:t xml:space="preserve">training </w:t>
            </w:r>
            <w:r>
              <w:rPr>
                <w:rFonts w:asciiTheme="minorHAnsi" w:hAnsiTheme="minorHAnsi" w:cstheme="minorHAnsi"/>
                <w:sz w:val="22"/>
                <w:szCs w:val="22"/>
              </w:rPr>
              <w:t xml:space="preserve">is provided by </w:t>
            </w:r>
            <w:r w:rsidRPr="00841567">
              <w:rPr>
                <w:rFonts w:asciiTheme="minorHAnsi" w:hAnsiTheme="minorHAnsi" w:cstheme="minorHAnsi"/>
                <w:sz w:val="22"/>
                <w:szCs w:val="22"/>
              </w:rPr>
              <w:t>QA</w:t>
            </w:r>
            <w:r>
              <w:rPr>
                <w:rFonts w:asciiTheme="minorHAnsi" w:hAnsiTheme="minorHAnsi" w:cstheme="minorHAnsi"/>
                <w:sz w:val="22"/>
                <w:szCs w:val="22"/>
              </w:rPr>
              <w:t xml:space="preserve"> who is a large, </w:t>
            </w:r>
            <w:r w:rsidRPr="00841567">
              <w:rPr>
                <w:rFonts w:asciiTheme="minorHAnsi" w:hAnsiTheme="minorHAnsi" w:cstheme="minorHAnsi"/>
                <w:sz w:val="22"/>
                <w:szCs w:val="22"/>
              </w:rPr>
              <w:t>established provider of apprenticeships with nationwide reach</w:t>
            </w:r>
            <w:r>
              <w:rPr>
                <w:rFonts w:asciiTheme="minorHAnsi" w:hAnsiTheme="minorHAnsi" w:cstheme="minorHAnsi"/>
                <w:sz w:val="22"/>
                <w:szCs w:val="22"/>
              </w:rPr>
              <w:t xml:space="preserve"> and Good Ofsted rating. The organisation is a trusted partner of the University through their role in the successful operation and delivery of programmes at Northumbria’s London Campus.   </w:t>
            </w:r>
          </w:p>
          <w:p w14:paraId="53F617A5" w14:textId="77777777" w:rsidR="00AA6329" w:rsidRPr="00841567" w:rsidRDefault="00AA6329" w:rsidP="00174322">
            <w:pPr>
              <w:pStyle w:val="xxmsobodytext2"/>
              <w:ind w:left="360"/>
              <w:rPr>
                <w:rFonts w:asciiTheme="minorHAnsi" w:hAnsiTheme="minorHAnsi" w:cstheme="minorHAnsi"/>
                <w:sz w:val="22"/>
                <w:szCs w:val="22"/>
              </w:rPr>
            </w:pPr>
          </w:p>
          <w:p w14:paraId="536E16F1" w14:textId="77777777" w:rsidR="00AA6329" w:rsidRDefault="00AA6329" w:rsidP="003077B0">
            <w:pPr>
              <w:pStyle w:val="xxmsobodytext2"/>
              <w:ind w:left="360"/>
              <w:rPr>
                <w:rFonts w:asciiTheme="minorHAnsi" w:hAnsiTheme="minorHAnsi" w:cstheme="minorHAnsi"/>
                <w:sz w:val="22"/>
                <w:szCs w:val="22"/>
              </w:rPr>
            </w:pPr>
          </w:p>
        </w:tc>
      </w:tr>
    </w:tbl>
    <w:p w14:paraId="5131FFEB" w14:textId="1677335E" w:rsidR="00AA6329" w:rsidRDefault="00AA6329"/>
    <w:p w14:paraId="257A03E9" w14:textId="49C4B5B9" w:rsidR="003077B0" w:rsidRPr="00433955" w:rsidRDefault="003077B0">
      <w:pPr>
        <w:rPr>
          <w:b/>
          <w:bCs/>
        </w:rPr>
      </w:pPr>
      <w:r w:rsidRPr="00433955">
        <w:rPr>
          <w:b/>
          <w:bCs/>
        </w:rPr>
        <w:t>2.</w:t>
      </w:r>
      <w:r w:rsidRPr="00433955">
        <w:rPr>
          <w:b/>
          <w:bCs/>
        </w:rPr>
        <w:tab/>
        <w:t xml:space="preserve">Fees Retained for </w:t>
      </w:r>
      <w:r w:rsidR="00B76BDD">
        <w:rPr>
          <w:b/>
          <w:bCs/>
        </w:rPr>
        <w:t xml:space="preserve">the administration and </w:t>
      </w:r>
      <w:r w:rsidRPr="00433955">
        <w:rPr>
          <w:b/>
          <w:bCs/>
        </w:rPr>
        <w:t>management of sub-contract</w:t>
      </w:r>
      <w:r w:rsidR="00D20E17">
        <w:rPr>
          <w:b/>
          <w:bCs/>
        </w:rPr>
        <w:t>ing</w:t>
      </w:r>
    </w:p>
    <w:p w14:paraId="1AC517C9" w14:textId="22A72B2B" w:rsidR="003077B0" w:rsidRDefault="00433955">
      <w:r>
        <w:t xml:space="preserve">The University retains responsibility for the </w:t>
      </w:r>
      <w:r w:rsidR="00446E45">
        <w:t xml:space="preserve">quality assurance </w:t>
      </w:r>
      <w:r>
        <w:t>administration a</w:t>
      </w:r>
      <w:r w:rsidR="00525E75">
        <w:t>nd</w:t>
      </w:r>
      <w:r>
        <w:t xml:space="preserve"> management of sub-contracted provision.  This includes:</w:t>
      </w:r>
    </w:p>
    <w:p w14:paraId="5ACF86CF" w14:textId="1720471F" w:rsidR="00433955" w:rsidRDefault="00433955" w:rsidP="003D681F">
      <w:pPr>
        <w:pStyle w:val="ListParagraph"/>
        <w:numPr>
          <w:ilvl w:val="0"/>
          <w:numId w:val="2"/>
        </w:numPr>
      </w:pPr>
      <w:r>
        <w:t>Initial due diligence of proposed subcontractors</w:t>
      </w:r>
    </w:p>
    <w:p w14:paraId="4C552204" w14:textId="0CF3A937" w:rsidR="00433955" w:rsidRDefault="00433955" w:rsidP="003D681F">
      <w:pPr>
        <w:pStyle w:val="ListParagraph"/>
        <w:numPr>
          <w:ilvl w:val="0"/>
          <w:numId w:val="2"/>
        </w:numPr>
      </w:pPr>
      <w:r>
        <w:t>Annual quality monitoring audit including observations, visits (where appropriate and possible), apprentice progress review and action planning.</w:t>
      </w:r>
    </w:p>
    <w:p w14:paraId="400BC324" w14:textId="0D61E6F2" w:rsidR="00433955" w:rsidRDefault="00433955" w:rsidP="003D681F">
      <w:pPr>
        <w:pStyle w:val="ListParagraph"/>
        <w:numPr>
          <w:ilvl w:val="0"/>
          <w:numId w:val="2"/>
        </w:numPr>
      </w:pPr>
      <w:r>
        <w:t xml:space="preserve">Co-ordination of activity </w:t>
      </w:r>
      <w:proofErr w:type="gramStart"/>
      <w:r>
        <w:t>e.g.</w:t>
      </w:r>
      <w:proofErr w:type="gramEnd"/>
      <w:r>
        <w:t xml:space="preserve"> referral </w:t>
      </w:r>
      <w:r w:rsidR="001F1239">
        <w:t xml:space="preserve">and tracking </w:t>
      </w:r>
      <w:r>
        <w:t xml:space="preserve">of learners (level 2 maths and English) </w:t>
      </w:r>
      <w:r w:rsidR="001F1239">
        <w:t>and facilitation of</w:t>
      </w:r>
      <w:r w:rsidR="00390FDD">
        <w:t xml:space="preserve"> and attendance at,</w:t>
      </w:r>
      <w:r w:rsidR="001F1239">
        <w:t xml:space="preserve"> joint operational meetings. </w:t>
      </w:r>
    </w:p>
    <w:tbl>
      <w:tblPr>
        <w:tblStyle w:val="TableGrid"/>
        <w:tblW w:w="0" w:type="auto"/>
        <w:tblLook w:val="04A0" w:firstRow="1" w:lastRow="0" w:firstColumn="1" w:lastColumn="0" w:noHBand="0" w:noVBand="1"/>
      </w:tblPr>
      <w:tblGrid>
        <w:gridCol w:w="4508"/>
        <w:gridCol w:w="4508"/>
      </w:tblGrid>
      <w:tr w:rsidR="003D681F" w14:paraId="1E0536F1" w14:textId="77777777" w:rsidTr="003077B0">
        <w:tc>
          <w:tcPr>
            <w:tcW w:w="4508" w:type="dxa"/>
          </w:tcPr>
          <w:p w14:paraId="44E6AD3A" w14:textId="5A04AB1C" w:rsidR="003D681F" w:rsidRPr="003077B0" w:rsidRDefault="003D681F" w:rsidP="00B76BDD">
            <w:pPr>
              <w:jc w:val="center"/>
              <w:rPr>
                <w:b/>
                <w:bCs/>
              </w:rPr>
            </w:pPr>
            <w:r>
              <w:rPr>
                <w:b/>
                <w:bCs/>
              </w:rPr>
              <w:t>Sub-Contractor</w:t>
            </w:r>
          </w:p>
        </w:tc>
        <w:tc>
          <w:tcPr>
            <w:tcW w:w="4508" w:type="dxa"/>
          </w:tcPr>
          <w:p w14:paraId="609061CF" w14:textId="76AABD2F" w:rsidR="003D681F" w:rsidRPr="000D5FAF" w:rsidRDefault="003D681F" w:rsidP="000D5FAF">
            <w:pPr>
              <w:jc w:val="center"/>
              <w:rPr>
                <w:b/>
                <w:bCs/>
              </w:rPr>
            </w:pPr>
            <w:r w:rsidRPr="000D5FAF">
              <w:rPr>
                <w:b/>
                <w:bCs/>
              </w:rPr>
              <w:t xml:space="preserve">Funds retained </w:t>
            </w:r>
            <w:r w:rsidR="00B76BDD">
              <w:rPr>
                <w:b/>
                <w:bCs/>
              </w:rPr>
              <w:t xml:space="preserve">per student </w:t>
            </w:r>
            <w:r w:rsidR="000D5FAF" w:rsidRPr="000D5FAF">
              <w:rPr>
                <w:b/>
                <w:bCs/>
              </w:rPr>
              <w:t>over duration of programme</w:t>
            </w:r>
          </w:p>
        </w:tc>
      </w:tr>
      <w:tr w:rsidR="003077B0" w14:paraId="34D18D51" w14:textId="77777777" w:rsidTr="003077B0">
        <w:tc>
          <w:tcPr>
            <w:tcW w:w="4508" w:type="dxa"/>
          </w:tcPr>
          <w:p w14:paraId="2FDAAA71" w14:textId="4175159C" w:rsidR="003077B0" w:rsidRPr="003077B0" w:rsidRDefault="003077B0">
            <w:pPr>
              <w:rPr>
                <w:b/>
                <w:bCs/>
              </w:rPr>
            </w:pPr>
            <w:r w:rsidRPr="003077B0">
              <w:rPr>
                <w:b/>
                <w:bCs/>
              </w:rPr>
              <w:t>Northumbria Police</w:t>
            </w:r>
          </w:p>
        </w:tc>
        <w:tc>
          <w:tcPr>
            <w:tcW w:w="4508" w:type="dxa"/>
          </w:tcPr>
          <w:p w14:paraId="72C96FC3" w14:textId="4A4270CA" w:rsidR="003077B0" w:rsidRDefault="003D681F">
            <w:r>
              <w:t xml:space="preserve">£503 </w:t>
            </w:r>
            <w:r w:rsidR="00B76BDD">
              <w:t xml:space="preserve"> </w:t>
            </w:r>
            <w:r>
              <w:t xml:space="preserve">  </w:t>
            </w:r>
          </w:p>
        </w:tc>
      </w:tr>
      <w:tr w:rsidR="003D681F" w14:paraId="5EA55C65" w14:textId="77777777" w:rsidTr="003077B0">
        <w:tc>
          <w:tcPr>
            <w:tcW w:w="4508" w:type="dxa"/>
          </w:tcPr>
          <w:p w14:paraId="17BA4E77" w14:textId="2FF764A9" w:rsidR="003D681F" w:rsidRPr="003077B0" w:rsidRDefault="003D681F">
            <w:pPr>
              <w:rPr>
                <w:b/>
                <w:bCs/>
              </w:rPr>
            </w:pPr>
            <w:r w:rsidRPr="003077B0">
              <w:rPr>
                <w:b/>
                <w:bCs/>
              </w:rPr>
              <w:t>Durham Constabulary</w:t>
            </w:r>
          </w:p>
        </w:tc>
        <w:tc>
          <w:tcPr>
            <w:tcW w:w="4508" w:type="dxa"/>
          </w:tcPr>
          <w:p w14:paraId="6160EE5D" w14:textId="4D1399C8" w:rsidR="003D681F" w:rsidRDefault="003D681F">
            <w:r>
              <w:t xml:space="preserve">£503 </w:t>
            </w:r>
            <w:r w:rsidR="00B76BDD">
              <w:t xml:space="preserve"> </w:t>
            </w:r>
            <w:r>
              <w:t xml:space="preserve">  </w:t>
            </w:r>
          </w:p>
        </w:tc>
      </w:tr>
      <w:tr w:rsidR="003077B0" w14:paraId="3CCFE343" w14:textId="77777777" w:rsidTr="003077B0">
        <w:tc>
          <w:tcPr>
            <w:tcW w:w="4508" w:type="dxa"/>
          </w:tcPr>
          <w:p w14:paraId="66273178" w14:textId="65CC70E7" w:rsidR="003077B0" w:rsidRDefault="003D681F">
            <w:r w:rsidRPr="00A6367F">
              <w:rPr>
                <w:b/>
                <w:bCs/>
              </w:rPr>
              <w:t>Lancashire Teaching Hospitals NHS Foundation Trust</w:t>
            </w:r>
            <w:r w:rsidRPr="003077B0">
              <w:rPr>
                <w:b/>
                <w:bCs/>
              </w:rPr>
              <w:t xml:space="preserve"> </w:t>
            </w:r>
            <w:r>
              <w:rPr>
                <w:b/>
                <w:bCs/>
              </w:rPr>
              <w:t xml:space="preserve"> </w:t>
            </w:r>
            <w:r w:rsidR="003077B0">
              <w:t xml:space="preserve"> </w:t>
            </w:r>
          </w:p>
        </w:tc>
        <w:tc>
          <w:tcPr>
            <w:tcW w:w="4508" w:type="dxa"/>
          </w:tcPr>
          <w:p w14:paraId="08A1A8A8" w14:textId="787D0171" w:rsidR="003077B0" w:rsidRDefault="003077B0">
            <w:r>
              <w:t xml:space="preserve">£380 </w:t>
            </w:r>
            <w:r w:rsidR="00B76BDD">
              <w:t xml:space="preserve"> </w:t>
            </w:r>
            <w:r w:rsidR="00433955">
              <w:t xml:space="preserve">  </w:t>
            </w:r>
          </w:p>
        </w:tc>
      </w:tr>
      <w:tr w:rsidR="003077B0" w14:paraId="482A67F2" w14:textId="77777777" w:rsidTr="003077B0">
        <w:tc>
          <w:tcPr>
            <w:tcW w:w="4508" w:type="dxa"/>
          </w:tcPr>
          <w:p w14:paraId="0E4E5DF4" w14:textId="593458B9" w:rsidR="003077B0" w:rsidRPr="003077B0" w:rsidRDefault="003077B0">
            <w:pPr>
              <w:rPr>
                <w:b/>
                <w:bCs/>
              </w:rPr>
            </w:pPr>
            <w:r w:rsidRPr="003077B0">
              <w:rPr>
                <w:b/>
                <w:bCs/>
              </w:rPr>
              <w:t>QA</w:t>
            </w:r>
          </w:p>
        </w:tc>
        <w:tc>
          <w:tcPr>
            <w:tcW w:w="4508" w:type="dxa"/>
          </w:tcPr>
          <w:p w14:paraId="6F772098" w14:textId="0A729E6E" w:rsidR="003077B0" w:rsidRDefault="00433955">
            <w:r>
              <w:t xml:space="preserve">£53.39 </w:t>
            </w:r>
            <w:r w:rsidR="00B76BDD">
              <w:t xml:space="preserve"> </w:t>
            </w:r>
          </w:p>
        </w:tc>
      </w:tr>
    </w:tbl>
    <w:p w14:paraId="06B37A5F" w14:textId="77777777" w:rsidR="003077B0" w:rsidRDefault="003077B0"/>
    <w:sectPr w:rsidR="0030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918DB"/>
    <w:multiLevelType w:val="hybridMultilevel"/>
    <w:tmpl w:val="88B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A267A"/>
    <w:multiLevelType w:val="multilevel"/>
    <w:tmpl w:val="C3C2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0579456">
    <w:abstractNumId w:val="1"/>
  </w:num>
  <w:num w:numId="2" w16cid:durableId="69457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29"/>
    <w:rsid w:val="00016027"/>
    <w:rsid w:val="000D5127"/>
    <w:rsid w:val="000D5FAF"/>
    <w:rsid w:val="001F1239"/>
    <w:rsid w:val="003077B0"/>
    <w:rsid w:val="00390FDD"/>
    <w:rsid w:val="003D681F"/>
    <w:rsid w:val="00433955"/>
    <w:rsid w:val="00446E45"/>
    <w:rsid w:val="00525E75"/>
    <w:rsid w:val="005E7164"/>
    <w:rsid w:val="00696811"/>
    <w:rsid w:val="006E0011"/>
    <w:rsid w:val="0098612E"/>
    <w:rsid w:val="00AA6329"/>
    <w:rsid w:val="00B1760C"/>
    <w:rsid w:val="00B76BDD"/>
    <w:rsid w:val="00CA00F4"/>
    <w:rsid w:val="00D20E17"/>
    <w:rsid w:val="00FD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638"/>
  <w15:chartTrackingRefBased/>
  <w15:docId w15:val="{B167D467-2950-4147-B91E-B7FECB71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3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6329"/>
    <w:pPr>
      <w:spacing w:before="100" w:beforeAutospacing="1" w:after="100" w:afterAutospacing="1" w:line="240" w:lineRule="auto"/>
    </w:pPr>
    <w:rPr>
      <w:rFonts w:ascii="Calibri" w:hAnsi="Calibri" w:cs="Calibri"/>
      <w:lang w:eastAsia="en-GB"/>
    </w:rPr>
  </w:style>
  <w:style w:type="paragraph" w:customStyle="1" w:styleId="xxmsobodytext2">
    <w:name w:val="x_x_msobodytext2"/>
    <w:basedOn w:val="Normal"/>
    <w:uiPriority w:val="99"/>
    <w:semiHidden/>
    <w:rsid w:val="00AA6329"/>
    <w:pPr>
      <w:snapToGrid w:val="0"/>
      <w:spacing w:after="0" w:line="240" w:lineRule="auto"/>
      <w:jc w:val="both"/>
    </w:pPr>
    <w:rPr>
      <w:rFonts w:ascii="Arial" w:hAnsi="Arial" w:cs="Arial"/>
      <w:sz w:val="20"/>
      <w:szCs w:val="20"/>
      <w:lang w:eastAsia="en-GB"/>
    </w:rPr>
  </w:style>
  <w:style w:type="paragraph" w:styleId="ListParagraph">
    <w:name w:val="List Paragraph"/>
    <w:basedOn w:val="Normal"/>
    <w:uiPriority w:val="34"/>
    <w:qFormat/>
    <w:rsid w:val="003D6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atp.apprenticeships.sfa.bis.gov.uk/downlo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810</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Brierley</dc:creator>
  <cp:keywords/>
  <dc:description/>
  <cp:lastModifiedBy>Clare Soulsby</cp:lastModifiedBy>
  <cp:revision>2</cp:revision>
  <dcterms:created xsi:type="dcterms:W3CDTF">2022-05-30T09:13:00Z</dcterms:created>
  <dcterms:modified xsi:type="dcterms:W3CDTF">2022-05-30T09:13:00Z</dcterms:modified>
</cp:coreProperties>
</file>