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FA" w:rsidRPr="00A87413" w:rsidRDefault="00370297" w:rsidP="00A87413">
      <w:pPr>
        <w:spacing w:after="0" w:line="240" w:lineRule="auto"/>
        <w:jc w:val="center"/>
        <w:rPr>
          <w:b/>
          <w:sz w:val="28"/>
          <w:szCs w:val="28"/>
        </w:rPr>
      </w:pPr>
      <w:r w:rsidRPr="00A87413">
        <w:rPr>
          <w:b/>
          <w:sz w:val="28"/>
          <w:szCs w:val="28"/>
        </w:rPr>
        <w:t>Northumbria University</w:t>
      </w:r>
    </w:p>
    <w:p w:rsidR="00370297" w:rsidRPr="008E15FA" w:rsidRDefault="0070298C" w:rsidP="00A87413">
      <w:pPr>
        <w:spacing w:before="120" w:after="0" w:line="240" w:lineRule="auto"/>
        <w:jc w:val="center"/>
        <w:rPr>
          <w:b/>
          <w:sz w:val="40"/>
          <w:szCs w:val="40"/>
        </w:rPr>
      </w:pPr>
      <w:r w:rsidRPr="008E15FA">
        <w:rPr>
          <w:b/>
          <w:sz w:val="40"/>
          <w:szCs w:val="40"/>
        </w:rPr>
        <w:t>Medicine, Science and Justice Day</w:t>
      </w:r>
      <w:r w:rsidR="00415ACD" w:rsidRPr="008E15FA">
        <w:rPr>
          <w:b/>
          <w:sz w:val="40"/>
          <w:szCs w:val="40"/>
        </w:rPr>
        <w:t xml:space="preserve">, </w:t>
      </w:r>
      <w:r w:rsidR="00370297" w:rsidRPr="008E15FA">
        <w:rPr>
          <w:b/>
          <w:sz w:val="40"/>
          <w:szCs w:val="40"/>
        </w:rPr>
        <w:t>28</w:t>
      </w:r>
      <w:r w:rsidR="00370297" w:rsidRPr="008E15FA">
        <w:rPr>
          <w:b/>
          <w:sz w:val="40"/>
          <w:szCs w:val="40"/>
          <w:vertAlign w:val="superscript"/>
        </w:rPr>
        <w:t>th</w:t>
      </w:r>
      <w:r w:rsidR="00370297" w:rsidRPr="008E15FA">
        <w:rPr>
          <w:b/>
          <w:sz w:val="40"/>
          <w:szCs w:val="40"/>
        </w:rPr>
        <w:t xml:space="preserve"> June 2018</w:t>
      </w:r>
    </w:p>
    <w:p w:rsidR="00FB2E4C" w:rsidRPr="00A87413" w:rsidRDefault="00FB2E4C" w:rsidP="00A87413">
      <w:pPr>
        <w:spacing w:before="120" w:after="120" w:line="240" w:lineRule="auto"/>
        <w:jc w:val="center"/>
        <w:rPr>
          <w:b/>
          <w:i/>
          <w:color w:val="000000" w:themeColor="text1"/>
          <w:sz w:val="26"/>
          <w:szCs w:val="26"/>
        </w:rPr>
      </w:pPr>
      <w:r w:rsidRPr="00A87413">
        <w:rPr>
          <w:b/>
          <w:i/>
          <w:color w:val="000000" w:themeColor="text1"/>
          <w:sz w:val="26"/>
          <w:szCs w:val="26"/>
        </w:rPr>
        <w:t xml:space="preserve">A one-day seminar for professionals and academics </w:t>
      </w:r>
      <w:r w:rsidR="008E15FA" w:rsidRPr="00A87413">
        <w:rPr>
          <w:b/>
          <w:i/>
          <w:color w:val="000000" w:themeColor="text1"/>
          <w:sz w:val="26"/>
          <w:szCs w:val="26"/>
        </w:rPr>
        <w:t>demonstrating</w:t>
      </w:r>
      <w:r w:rsidR="00B804B5" w:rsidRPr="00A87413">
        <w:rPr>
          <w:b/>
          <w:i/>
          <w:color w:val="000000" w:themeColor="text1"/>
          <w:sz w:val="26"/>
          <w:szCs w:val="26"/>
        </w:rPr>
        <w:t xml:space="preserve"> the contribution of science and medicine to complex</w:t>
      </w:r>
      <w:r w:rsidRPr="00A87413">
        <w:rPr>
          <w:b/>
          <w:i/>
          <w:color w:val="000000" w:themeColor="text1"/>
          <w:sz w:val="26"/>
          <w:szCs w:val="26"/>
        </w:rPr>
        <w:t xml:space="preserve"> cases and</w:t>
      </w:r>
      <w:r w:rsidR="00B804B5" w:rsidRPr="00A87413">
        <w:rPr>
          <w:b/>
          <w:i/>
          <w:color w:val="000000" w:themeColor="text1"/>
          <w:sz w:val="26"/>
          <w:szCs w:val="26"/>
        </w:rPr>
        <w:t xml:space="preserve"> </w:t>
      </w:r>
      <w:r w:rsidR="00415ACD" w:rsidRPr="00A87413">
        <w:rPr>
          <w:b/>
          <w:i/>
          <w:color w:val="000000" w:themeColor="text1"/>
          <w:sz w:val="26"/>
          <w:szCs w:val="26"/>
        </w:rPr>
        <w:t>problems in the</w:t>
      </w:r>
      <w:r w:rsidRPr="00A87413">
        <w:rPr>
          <w:b/>
          <w:i/>
          <w:color w:val="000000" w:themeColor="text1"/>
          <w:sz w:val="26"/>
          <w:szCs w:val="26"/>
        </w:rPr>
        <w:t xml:space="preserve"> justice system internationally</w:t>
      </w:r>
    </w:p>
    <w:tbl>
      <w:tblPr>
        <w:tblStyle w:val="TableGrid"/>
        <w:tblW w:w="0" w:type="auto"/>
        <w:tblLook w:val="04A0" w:firstRow="1" w:lastRow="0" w:firstColumn="1" w:lastColumn="0" w:noHBand="0" w:noVBand="1"/>
      </w:tblPr>
      <w:tblGrid>
        <w:gridCol w:w="1226"/>
        <w:gridCol w:w="8402"/>
      </w:tblGrid>
      <w:tr w:rsidR="008B2F0F" w:rsidTr="008B2F0F">
        <w:tc>
          <w:tcPr>
            <w:tcW w:w="1242" w:type="dxa"/>
          </w:tcPr>
          <w:p w:rsidR="008B2F0F" w:rsidRDefault="008B2F0F" w:rsidP="00A87413">
            <w:pPr>
              <w:spacing w:before="60" w:after="60"/>
              <w:rPr>
                <w:b/>
                <w:color w:val="000000" w:themeColor="text1"/>
              </w:rPr>
            </w:pPr>
            <w:r>
              <w:rPr>
                <w:b/>
                <w:color w:val="000000" w:themeColor="text1"/>
              </w:rPr>
              <w:t>0830-0900</w:t>
            </w:r>
          </w:p>
        </w:tc>
        <w:tc>
          <w:tcPr>
            <w:tcW w:w="8612" w:type="dxa"/>
          </w:tcPr>
          <w:p w:rsidR="008B2F0F" w:rsidRDefault="008B2F0F" w:rsidP="00A87413">
            <w:pPr>
              <w:spacing w:before="60" w:after="60"/>
              <w:rPr>
                <w:b/>
                <w:color w:val="000000" w:themeColor="text1"/>
              </w:rPr>
            </w:pPr>
            <w:r>
              <w:rPr>
                <w:b/>
                <w:color w:val="000000" w:themeColor="text1"/>
              </w:rPr>
              <w:t>Registration</w:t>
            </w:r>
          </w:p>
        </w:tc>
      </w:tr>
      <w:tr w:rsidR="008B2F0F" w:rsidTr="008B2F0F">
        <w:tc>
          <w:tcPr>
            <w:tcW w:w="1242" w:type="dxa"/>
          </w:tcPr>
          <w:p w:rsidR="008B2F0F" w:rsidRDefault="008B2F0F" w:rsidP="00A87413">
            <w:pPr>
              <w:spacing w:before="60" w:after="60"/>
              <w:rPr>
                <w:b/>
                <w:color w:val="000000" w:themeColor="text1"/>
              </w:rPr>
            </w:pPr>
            <w:r>
              <w:rPr>
                <w:b/>
                <w:color w:val="000000" w:themeColor="text1"/>
              </w:rPr>
              <w:t>0900-09</w:t>
            </w:r>
            <w:r w:rsidR="008E15FA">
              <w:rPr>
                <w:b/>
                <w:color w:val="000000" w:themeColor="text1"/>
              </w:rPr>
              <w:t>10</w:t>
            </w:r>
          </w:p>
        </w:tc>
        <w:tc>
          <w:tcPr>
            <w:tcW w:w="8612" w:type="dxa"/>
          </w:tcPr>
          <w:p w:rsidR="008B2F0F" w:rsidRDefault="008B2F0F" w:rsidP="00A87413">
            <w:pPr>
              <w:spacing w:before="60" w:after="60"/>
              <w:rPr>
                <w:b/>
                <w:color w:val="000000" w:themeColor="text1"/>
              </w:rPr>
            </w:pPr>
            <w:r>
              <w:rPr>
                <w:b/>
                <w:color w:val="000000" w:themeColor="text1"/>
              </w:rPr>
              <w:t>Welcome</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0910-1000</w:t>
            </w:r>
          </w:p>
        </w:tc>
        <w:tc>
          <w:tcPr>
            <w:tcW w:w="8612" w:type="dxa"/>
          </w:tcPr>
          <w:p w:rsidR="008B2F0F" w:rsidRPr="008B2F0F" w:rsidRDefault="008B2F0F" w:rsidP="00A87413">
            <w:pPr>
              <w:spacing w:before="60" w:after="60"/>
              <w:rPr>
                <w:b/>
                <w:color w:val="000000" w:themeColor="text1"/>
              </w:rPr>
            </w:pPr>
            <w:r w:rsidRPr="008B2F0F">
              <w:rPr>
                <w:b/>
                <w:color w:val="000000" w:themeColor="text1"/>
              </w:rPr>
              <w:t>Cannibalistic Homicide in England and Wales</w:t>
            </w:r>
          </w:p>
          <w:p w:rsidR="008B2F0F" w:rsidRDefault="008B2F0F" w:rsidP="00A87413">
            <w:pPr>
              <w:spacing w:before="60" w:after="60"/>
              <w:rPr>
                <w:b/>
                <w:color w:val="000000" w:themeColor="text1"/>
              </w:rPr>
            </w:pPr>
            <w:r w:rsidRPr="00B82992">
              <w:rPr>
                <w:color w:val="000000" w:themeColor="text1"/>
              </w:rPr>
              <w:t>Alfredo Walker (University of Ottawa, Canada)</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1000</w:t>
            </w:r>
            <w:r w:rsidR="008B2F0F">
              <w:rPr>
                <w:b/>
                <w:color w:val="000000" w:themeColor="text1"/>
              </w:rPr>
              <w:t>-1</w:t>
            </w:r>
            <w:r>
              <w:rPr>
                <w:b/>
                <w:color w:val="000000" w:themeColor="text1"/>
              </w:rPr>
              <w:t>100</w:t>
            </w:r>
          </w:p>
        </w:tc>
        <w:tc>
          <w:tcPr>
            <w:tcW w:w="8612" w:type="dxa"/>
          </w:tcPr>
          <w:p w:rsidR="008B2F0F" w:rsidRPr="008B2F0F" w:rsidRDefault="008B2F0F" w:rsidP="00A87413">
            <w:pPr>
              <w:spacing w:before="60" w:after="60"/>
              <w:rPr>
                <w:b/>
                <w:color w:val="000000" w:themeColor="text1"/>
              </w:rPr>
            </w:pPr>
            <w:r w:rsidRPr="008B2F0F">
              <w:rPr>
                <w:b/>
                <w:color w:val="000000" w:themeColor="text1"/>
              </w:rPr>
              <w:t>Forensic science contribution to the Stephen Lawr</w:t>
            </w:r>
            <w:r>
              <w:rPr>
                <w:b/>
                <w:color w:val="000000" w:themeColor="text1"/>
              </w:rPr>
              <w:t>ence and Joanna Yates inquiries</w:t>
            </w:r>
          </w:p>
          <w:p w:rsidR="008B2F0F" w:rsidRDefault="008B2F0F" w:rsidP="00A87413">
            <w:pPr>
              <w:spacing w:before="60" w:after="60"/>
              <w:rPr>
                <w:b/>
                <w:color w:val="000000" w:themeColor="text1"/>
              </w:rPr>
            </w:pPr>
            <w:r w:rsidRPr="00B82992">
              <w:rPr>
                <w:color w:val="000000" w:themeColor="text1"/>
              </w:rPr>
              <w:t>Kelly Sheridan (Northumbria University, UK)</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11</w:t>
            </w:r>
            <w:r w:rsidR="008B2F0F">
              <w:rPr>
                <w:b/>
                <w:color w:val="000000" w:themeColor="text1"/>
              </w:rPr>
              <w:t>00-1</w:t>
            </w:r>
            <w:r>
              <w:rPr>
                <w:b/>
                <w:color w:val="000000" w:themeColor="text1"/>
              </w:rPr>
              <w:t>1</w:t>
            </w:r>
            <w:r w:rsidR="008B2F0F">
              <w:rPr>
                <w:b/>
                <w:color w:val="000000" w:themeColor="text1"/>
              </w:rPr>
              <w:t>30</w:t>
            </w:r>
          </w:p>
        </w:tc>
        <w:tc>
          <w:tcPr>
            <w:tcW w:w="8612" w:type="dxa"/>
          </w:tcPr>
          <w:p w:rsidR="008B2F0F" w:rsidRPr="008B2F0F" w:rsidRDefault="008B2F0F" w:rsidP="00A87413">
            <w:pPr>
              <w:spacing w:before="60" w:after="60"/>
              <w:rPr>
                <w:b/>
                <w:color w:val="000000" w:themeColor="text1"/>
              </w:rPr>
            </w:pPr>
            <w:r>
              <w:rPr>
                <w:b/>
                <w:color w:val="000000" w:themeColor="text1"/>
              </w:rPr>
              <w:t>Refreshments</w:t>
            </w:r>
          </w:p>
        </w:tc>
      </w:tr>
      <w:tr w:rsidR="008B2F0F" w:rsidTr="008B2F0F">
        <w:tc>
          <w:tcPr>
            <w:tcW w:w="1242" w:type="dxa"/>
          </w:tcPr>
          <w:p w:rsidR="008B2F0F" w:rsidRDefault="008B2F0F" w:rsidP="00A87413">
            <w:pPr>
              <w:spacing w:before="60" w:after="60"/>
              <w:rPr>
                <w:b/>
                <w:color w:val="000000" w:themeColor="text1"/>
              </w:rPr>
            </w:pPr>
            <w:r>
              <w:rPr>
                <w:b/>
                <w:color w:val="000000" w:themeColor="text1"/>
              </w:rPr>
              <w:t>1130-1230</w:t>
            </w:r>
          </w:p>
        </w:tc>
        <w:tc>
          <w:tcPr>
            <w:tcW w:w="8612" w:type="dxa"/>
          </w:tcPr>
          <w:p w:rsidR="008B2F0F" w:rsidRPr="008B2F0F" w:rsidRDefault="008B2F0F" w:rsidP="00A87413">
            <w:pPr>
              <w:spacing w:before="60" w:after="60"/>
              <w:rPr>
                <w:b/>
                <w:color w:val="000000" w:themeColor="text1"/>
              </w:rPr>
            </w:pPr>
            <w:r w:rsidRPr="008B2F0F">
              <w:rPr>
                <w:b/>
                <w:color w:val="000000" w:themeColor="text1"/>
              </w:rPr>
              <w:t>The contribution of forensic anthropology to medico-legal investigation</w:t>
            </w:r>
          </w:p>
          <w:p w:rsidR="008B2F0F" w:rsidRDefault="008B2F0F" w:rsidP="00A87413">
            <w:pPr>
              <w:spacing w:before="60" w:after="60"/>
              <w:rPr>
                <w:b/>
                <w:color w:val="000000" w:themeColor="text1"/>
              </w:rPr>
            </w:pPr>
            <w:r w:rsidRPr="00B82992">
              <w:rPr>
                <w:color w:val="000000" w:themeColor="text1"/>
              </w:rPr>
              <w:t>Martin Evison (Northumbria University, UK)</w:t>
            </w:r>
          </w:p>
        </w:tc>
      </w:tr>
      <w:tr w:rsidR="008E15FA" w:rsidTr="00512482">
        <w:tc>
          <w:tcPr>
            <w:tcW w:w="1242" w:type="dxa"/>
          </w:tcPr>
          <w:p w:rsidR="008E15FA" w:rsidRDefault="008E15FA" w:rsidP="00A87413">
            <w:pPr>
              <w:spacing w:before="60" w:after="60"/>
              <w:rPr>
                <w:b/>
                <w:color w:val="000000" w:themeColor="text1"/>
              </w:rPr>
            </w:pPr>
            <w:r>
              <w:rPr>
                <w:b/>
                <w:color w:val="000000" w:themeColor="text1"/>
              </w:rPr>
              <w:t>1230-1400</w:t>
            </w:r>
          </w:p>
        </w:tc>
        <w:tc>
          <w:tcPr>
            <w:tcW w:w="8612" w:type="dxa"/>
          </w:tcPr>
          <w:p w:rsidR="008E15FA" w:rsidRDefault="008E15FA" w:rsidP="00A87413">
            <w:pPr>
              <w:spacing w:before="60" w:after="60"/>
              <w:rPr>
                <w:b/>
                <w:color w:val="000000" w:themeColor="text1"/>
              </w:rPr>
            </w:pPr>
            <w:r>
              <w:rPr>
                <w:b/>
                <w:color w:val="000000" w:themeColor="text1"/>
              </w:rPr>
              <w:t>Lunch</w:t>
            </w:r>
          </w:p>
        </w:tc>
      </w:tr>
      <w:tr w:rsidR="008E15FA" w:rsidTr="00336A67">
        <w:tc>
          <w:tcPr>
            <w:tcW w:w="1242" w:type="dxa"/>
          </w:tcPr>
          <w:p w:rsidR="008E15FA" w:rsidRDefault="008E15FA" w:rsidP="00A87413">
            <w:pPr>
              <w:spacing w:before="60" w:after="60"/>
              <w:rPr>
                <w:b/>
                <w:color w:val="000000" w:themeColor="text1"/>
              </w:rPr>
            </w:pPr>
            <w:r>
              <w:rPr>
                <w:b/>
                <w:color w:val="000000" w:themeColor="text1"/>
              </w:rPr>
              <w:t>1245-1345</w:t>
            </w:r>
          </w:p>
        </w:tc>
        <w:tc>
          <w:tcPr>
            <w:tcW w:w="8612" w:type="dxa"/>
          </w:tcPr>
          <w:p w:rsidR="008E15FA" w:rsidRDefault="00B56F80" w:rsidP="00A87413">
            <w:pPr>
              <w:spacing w:before="60" w:after="60"/>
              <w:rPr>
                <w:b/>
                <w:color w:val="000000" w:themeColor="text1"/>
              </w:rPr>
            </w:pPr>
            <w:r>
              <w:rPr>
                <w:b/>
                <w:color w:val="000000" w:themeColor="text1"/>
              </w:rPr>
              <w:t>Lunchtime Discussion and Q&amp;A</w:t>
            </w:r>
          </w:p>
          <w:p w:rsidR="00B56F80" w:rsidRPr="00B82992" w:rsidRDefault="008E15FA" w:rsidP="00A87413">
            <w:pPr>
              <w:spacing w:before="60" w:after="60"/>
              <w:rPr>
                <w:b/>
                <w:i/>
                <w:color w:val="000000" w:themeColor="text1"/>
              </w:rPr>
            </w:pPr>
            <w:r w:rsidRPr="00B82992">
              <w:rPr>
                <w:b/>
                <w:i/>
                <w:color w:val="000000" w:themeColor="text1"/>
              </w:rPr>
              <w:t xml:space="preserve">Medical Assistance in Dying (MAID) in </w:t>
            </w:r>
            <w:r w:rsidR="00076535">
              <w:rPr>
                <w:b/>
                <w:i/>
                <w:color w:val="000000" w:themeColor="text1"/>
              </w:rPr>
              <w:t>Canada</w:t>
            </w:r>
          </w:p>
          <w:p w:rsidR="008E15FA" w:rsidRPr="00B82992" w:rsidRDefault="008E15FA" w:rsidP="00A87413">
            <w:pPr>
              <w:spacing w:before="60" w:after="60"/>
              <w:jc w:val="both"/>
              <w:rPr>
                <w:color w:val="000000" w:themeColor="text1"/>
              </w:rPr>
            </w:pPr>
            <w:r w:rsidRPr="00B82992">
              <w:rPr>
                <w:color w:val="000000" w:themeColor="text1"/>
              </w:rPr>
              <w:t>A discussion of medico-legal and ethical issues and principles following the Supreme Court of Canada ruling that an absolute prohibition on medical assistance in dying sought by competent adults, who are suffering intolerably from grievous and irremediable medical conditions, violates their rights and is unconstitutional, and the passage into law of Bill C-14 protecting medical practitioners from criminal prosecution.</w:t>
            </w:r>
          </w:p>
          <w:p w:rsidR="008E15FA" w:rsidRDefault="00B56F80" w:rsidP="00076535">
            <w:pPr>
              <w:spacing w:before="60" w:after="60"/>
              <w:rPr>
                <w:color w:val="000000" w:themeColor="text1"/>
              </w:rPr>
            </w:pPr>
            <w:r>
              <w:rPr>
                <w:color w:val="000000" w:themeColor="text1"/>
              </w:rPr>
              <w:t>Chairs</w:t>
            </w:r>
            <w:r w:rsidR="008E15FA">
              <w:rPr>
                <w:color w:val="000000" w:themeColor="text1"/>
              </w:rPr>
              <w:t>:</w:t>
            </w:r>
            <w:r w:rsidR="00076535">
              <w:rPr>
                <w:color w:val="000000" w:themeColor="text1"/>
              </w:rPr>
              <w:t xml:space="preserve"> Michelle Robson and Kristina Swift</w:t>
            </w:r>
            <w:r w:rsidR="008E15FA">
              <w:rPr>
                <w:color w:val="000000" w:themeColor="text1"/>
              </w:rPr>
              <w:t xml:space="preserve"> (Northumbria University, UK)</w:t>
            </w:r>
          </w:p>
          <w:p w:rsidR="00B56F80" w:rsidRPr="008E15FA" w:rsidRDefault="00B56F80" w:rsidP="00B56F80">
            <w:pPr>
              <w:spacing w:before="60" w:after="60"/>
              <w:rPr>
                <w:color w:val="000000" w:themeColor="text1"/>
              </w:rPr>
            </w:pPr>
            <w:r>
              <w:rPr>
                <w:color w:val="000000" w:themeColor="text1"/>
              </w:rPr>
              <w:t>Discussion Panel: Alfredo Walker (University of Ottawa), Others TBC</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1400-1445</w:t>
            </w:r>
          </w:p>
        </w:tc>
        <w:tc>
          <w:tcPr>
            <w:tcW w:w="8612" w:type="dxa"/>
          </w:tcPr>
          <w:p w:rsidR="008B2F0F" w:rsidRPr="00B82992" w:rsidRDefault="008B2F0F" w:rsidP="00A87413">
            <w:pPr>
              <w:spacing w:before="60" w:after="60"/>
              <w:rPr>
                <w:i/>
                <w:color w:val="000000" w:themeColor="text1"/>
              </w:rPr>
            </w:pPr>
            <w:r w:rsidRPr="00B82992">
              <w:rPr>
                <w:i/>
                <w:color w:val="000000" w:themeColor="text1"/>
              </w:rPr>
              <w:t>Blood pattern analysis: demonstrating the role of BPA in an exoneration case</w:t>
            </w:r>
          </w:p>
          <w:p w:rsidR="008B2F0F" w:rsidRPr="008B2F0F" w:rsidRDefault="008B2F0F" w:rsidP="00A87413">
            <w:pPr>
              <w:spacing w:before="60" w:after="60"/>
              <w:rPr>
                <w:b/>
                <w:color w:val="000000" w:themeColor="text1"/>
              </w:rPr>
            </w:pPr>
            <w:r w:rsidRPr="008B2F0F">
              <w:rPr>
                <w:b/>
                <w:color w:val="000000" w:themeColor="text1"/>
              </w:rPr>
              <w:t>Gillian Leak (Principal Forensic Services, UK)</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1445-1530</w:t>
            </w:r>
          </w:p>
        </w:tc>
        <w:tc>
          <w:tcPr>
            <w:tcW w:w="8612" w:type="dxa"/>
          </w:tcPr>
          <w:p w:rsidR="008B2F0F" w:rsidRPr="00B82992" w:rsidRDefault="008B2F0F" w:rsidP="00A87413">
            <w:pPr>
              <w:spacing w:before="60" w:after="60"/>
              <w:rPr>
                <w:b/>
                <w:i/>
                <w:color w:val="000000" w:themeColor="text1"/>
              </w:rPr>
            </w:pPr>
            <w:r w:rsidRPr="00B82992">
              <w:rPr>
                <w:b/>
                <w:i/>
                <w:color w:val="000000" w:themeColor="text1"/>
              </w:rPr>
              <w:t>Medico-legal and ethical aspects of the diagnosis of violence against children in Brazil</w:t>
            </w:r>
          </w:p>
          <w:p w:rsidR="008B2F0F" w:rsidRPr="008B2F0F" w:rsidRDefault="008B2F0F" w:rsidP="00A87413">
            <w:pPr>
              <w:spacing w:before="60" w:after="60"/>
              <w:rPr>
                <w:color w:val="000000" w:themeColor="text1"/>
              </w:rPr>
            </w:pPr>
            <w:r w:rsidRPr="00B82992">
              <w:rPr>
                <w:color w:val="000000" w:themeColor="text1"/>
              </w:rPr>
              <w:t>Marco Guimarães (University of São Paulo, Brazil, TBC)</w:t>
            </w:r>
          </w:p>
        </w:tc>
      </w:tr>
      <w:tr w:rsidR="008B2F0F" w:rsidTr="008B2F0F">
        <w:tc>
          <w:tcPr>
            <w:tcW w:w="1242" w:type="dxa"/>
          </w:tcPr>
          <w:p w:rsidR="008B2F0F" w:rsidRDefault="008E15FA" w:rsidP="00A87413">
            <w:pPr>
              <w:spacing w:before="60" w:after="60"/>
              <w:rPr>
                <w:b/>
                <w:color w:val="000000" w:themeColor="text1"/>
              </w:rPr>
            </w:pPr>
            <w:r>
              <w:rPr>
                <w:b/>
                <w:color w:val="000000" w:themeColor="text1"/>
              </w:rPr>
              <w:t>1530-1630</w:t>
            </w:r>
          </w:p>
        </w:tc>
        <w:tc>
          <w:tcPr>
            <w:tcW w:w="8612" w:type="dxa"/>
          </w:tcPr>
          <w:p w:rsidR="008E15FA" w:rsidRPr="00B82992" w:rsidRDefault="008E15FA" w:rsidP="00A87413">
            <w:pPr>
              <w:spacing w:before="60" w:after="60"/>
              <w:rPr>
                <w:b/>
                <w:i/>
                <w:color w:val="000000" w:themeColor="text1"/>
              </w:rPr>
            </w:pPr>
            <w:r w:rsidRPr="00B82992">
              <w:rPr>
                <w:b/>
                <w:i/>
                <w:color w:val="000000" w:themeColor="text1"/>
              </w:rPr>
              <w:t>Seeking Answers to the Burning Question:  Review of a Fire Death in German Polic</w:t>
            </w:r>
            <w:r w:rsidR="00A87413">
              <w:rPr>
                <w:b/>
                <w:i/>
                <w:color w:val="000000" w:themeColor="text1"/>
              </w:rPr>
              <w:t>e Cell</w:t>
            </w:r>
          </w:p>
          <w:p w:rsidR="008E15FA" w:rsidRPr="00B82992" w:rsidRDefault="008E15FA" w:rsidP="00A87413">
            <w:pPr>
              <w:spacing w:before="60" w:after="60"/>
              <w:rPr>
                <w:color w:val="000000" w:themeColor="text1"/>
              </w:rPr>
            </w:pPr>
            <w:r w:rsidRPr="00B82992">
              <w:rPr>
                <w:color w:val="000000" w:themeColor="text1"/>
              </w:rPr>
              <w:t>Alfredo Walker (University of Ottawa, Canada)</w:t>
            </w:r>
          </w:p>
          <w:p w:rsidR="008E15FA" w:rsidRDefault="008E15FA" w:rsidP="00A87413">
            <w:pPr>
              <w:spacing w:before="60" w:after="60"/>
              <w:jc w:val="both"/>
              <w:rPr>
                <w:b/>
                <w:color w:val="000000" w:themeColor="text1"/>
              </w:rPr>
            </w:pPr>
            <w:r w:rsidRPr="00B82992">
              <w:rPr>
                <w:color w:val="000000" w:themeColor="text1"/>
              </w:rPr>
              <w:t xml:space="preserve">In 2005, the burnt body of an asylum seeker </w:t>
            </w:r>
            <w:proofErr w:type="gramStart"/>
            <w:r w:rsidRPr="00B82992">
              <w:rPr>
                <w:color w:val="000000" w:themeColor="text1"/>
              </w:rPr>
              <w:t>was found</w:t>
            </w:r>
            <w:proofErr w:type="gramEnd"/>
            <w:r w:rsidRPr="00B82992">
              <w:rPr>
                <w:color w:val="000000" w:themeColor="text1"/>
              </w:rPr>
              <w:t xml:space="preserve"> shackled by both wrists and ankles to a mattress in a police cell in small German town. From the onset, the case wa</w:t>
            </w:r>
            <w:bookmarkStart w:id="0" w:name="_GoBack"/>
            <w:bookmarkEnd w:id="0"/>
            <w:r w:rsidRPr="00B82992">
              <w:rPr>
                <w:color w:val="000000" w:themeColor="text1"/>
              </w:rPr>
              <w:t xml:space="preserve">s treated as self-inflicted burn injury and was investigated as such until </w:t>
            </w:r>
            <w:proofErr w:type="gramStart"/>
            <w:r w:rsidRPr="00B82992">
              <w:rPr>
                <w:color w:val="000000" w:themeColor="text1"/>
              </w:rPr>
              <w:t xml:space="preserve">it was externally reviewed by a team of </w:t>
            </w:r>
            <w:r w:rsidRPr="00B82992">
              <w:rPr>
                <w:color w:val="000000" w:themeColor="text1"/>
              </w:rPr>
              <w:lastRenderedPageBreak/>
              <w:t>British experts</w:t>
            </w:r>
            <w:proofErr w:type="gramEnd"/>
            <w:r w:rsidRPr="00B82992">
              <w:rPr>
                <w:color w:val="000000" w:themeColor="text1"/>
              </w:rPr>
              <w:t xml:space="preserve"> many years later in 2013.  The presentation will review the forensic and medico-legal evidence that was flowed out of the initial investigation and how that review influenced a change of opinion by the German authorities.</w:t>
            </w:r>
          </w:p>
        </w:tc>
      </w:tr>
    </w:tbl>
    <w:p w:rsidR="008B2F0F" w:rsidRDefault="008B2F0F" w:rsidP="00A87413">
      <w:pPr>
        <w:spacing w:after="0"/>
        <w:rPr>
          <w:b/>
          <w:color w:val="000000" w:themeColor="text1"/>
        </w:rPr>
      </w:pPr>
    </w:p>
    <w:tbl>
      <w:tblPr>
        <w:tblStyle w:val="TableGrid"/>
        <w:tblW w:w="0" w:type="auto"/>
        <w:tblLook w:val="04A0" w:firstRow="1" w:lastRow="0" w:firstColumn="1" w:lastColumn="0" w:noHBand="0" w:noVBand="1"/>
      </w:tblPr>
      <w:tblGrid>
        <w:gridCol w:w="4071"/>
        <w:gridCol w:w="5557"/>
      </w:tblGrid>
      <w:tr w:rsidR="00FB2E4C" w:rsidTr="00A87413">
        <w:tc>
          <w:tcPr>
            <w:tcW w:w="4077" w:type="dxa"/>
          </w:tcPr>
          <w:p w:rsidR="00FB2E4C" w:rsidRDefault="00FB2E4C" w:rsidP="00A87413">
            <w:pPr>
              <w:spacing w:before="120"/>
              <w:jc w:val="both"/>
              <w:rPr>
                <w:color w:val="000000" w:themeColor="text1"/>
              </w:rPr>
            </w:pPr>
            <w:r w:rsidRPr="004463FA">
              <w:rPr>
                <w:rFonts w:ascii="Times New Roman" w:eastAsia="Times New Roman" w:hAnsi="Times New Roman" w:cs="Times New Roman"/>
                <w:noProof/>
                <w:sz w:val="24"/>
                <w:szCs w:val="24"/>
                <w:lang w:eastAsia="zh-CN"/>
              </w:rPr>
              <w:drawing>
                <wp:inline distT="0" distB="0" distL="0" distR="0">
                  <wp:extent cx="2371725" cy="759460"/>
                  <wp:effectExtent l="0" t="0" r="9525" b="2540"/>
                  <wp:docPr id="2" name="Picture 2"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759460"/>
                          </a:xfrm>
                          <a:prstGeom prst="rect">
                            <a:avLst/>
                          </a:prstGeom>
                          <a:noFill/>
                        </pic:spPr>
                      </pic:pic>
                    </a:graphicData>
                  </a:graphic>
                </wp:inline>
              </w:drawing>
            </w:r>
          </w:p>
        </w:tc>
        <w:tc>
          <w:tcPr>
            <w:tcW w:w="5777" w:type="dxa"/>
          </w:tcPr>
          <w:p w:rsidR="00FB2E4C" w:rsidRPr="00A87413" w:rsidRDefault="008E15FA" w:rsidP="00A87413">
            <w:pPr>
              <w:spacing w:before="60" w:after="60"/>
              <w:jc w:val="both"/>
              <w:rPr>
                <w:b/>
                <w:color w:val="000000" w:themeColor="text1"/>
              </w:rPr>
            </w:pPr>
            <w:r w:rsidRPr="00A87413">
              <w:rPr>
                <w:b/>
                <w:color w:val="000000" w:themeColor="text1"/>
              </w:rPr>
              <w:t>Faculty of Business and Law: Science and Justice Research Interest Group, Medical and Mental Health Law Research Interest Group, Northumbria Centre for Evidence and Criminal Justice Studies; Faculty of Health and Life Sciences: Forensic Science Unit</w:t>
            </w:r>
          </w:p>
        </w:tc>
      </w:tr>
    </w:tbl>
    <w:p w:rsidR="008E15FA" w:rsidRPr="00A87413" w:rsidRDefault="00A87413" w:rsidP="00A87413">
      <w:pPr>
        <w:spacing w:before="120" w:after="0" w:line="240" w:lineRule="auto"/>
        <w:jc w:val="both"/>
        <w:rPr>
          <w:b/>
          <w:color w:val="000000" w:themeColor="text1"/>
        </w:rPr>
      </w:pPr>
      <w:r w:rsidRPr="00A87413">
        <w:rPr>
          <w:b/>
          <w:color w:val="000000" w:themeColor="text1"/>
        </w:rPr>
        <w:t>Contact: nucfs@northumbria.ac.uk</w:t>
      </w:r>
    </w:p>
    <w:sectPr w:rsidR="008E15FA" w:rsidRPr="00A87413" w:rsidSect="00BE44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8C"/>
    <w:rsid w:val="00076535"/>
    <w:rsid w:val="0008117D"/>
    <w:rsid w:val="000D5160"/>
    <w:rsid w:val="00122B97"/>
    <w:rsid w:val="00264323"/>
    <w:rsid w:val="00300613"/>
    <w:rsid w:val="00370297"/>
    <w:rsid w:val="003E0C40"/>
    <w:rsid w:val="004051D2"/>
    <w:rsid w:val="00415ACD"/>
    <w:rsid w:val="005E2455"/>
    <w:rsid w:val="0070298C"/>
    <w:rsid w:val="008B2F0F"/>
    <w:rsid w:val="008E15FA"/>
    <w:rsid w:val="00986ECD"/>
    <w:rsid w:val="00A87413"/>
    <w:rsid w:val="00B56F80"/>
    <w:rsid w:val="00B804B5"/>
    <w:rsid w:val="00B82992"/>
    <w:rsid w:val="00BE44E1"/>
    <w:rsid w:val="00C03384"/>
    <w:rsid w:val="00C13B2D"/>
    <w:rsid w:val="00C506A5"/>
    <w:rsid w:val="00CB51BB"/>
    <w:rsid w:val="00FB2E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0E1AD-5F96-4FA8-9A50-C317A11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0A56-87F9-43C8-A1EA-D5BD6BE3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Evison</dc:creator>
  <cp:lastModifiedBy>Carole McCartney</cp:lastModifiedBy>
  <cp:revision>2</cp:revision>
  <dcterms:created xsi:type="dcterms:W3CDTF">2018-04-17T09:47:00Z</dcterms:created>
  <dcterms:modified xsi:type="dcterms:W3CDTF">2018-04-17T09:47:00Z</dcterms:modified>
</cp:coreProperties>
</file>