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A353AE" w:rsidRPr="006F15B1" w:rsidTr="00DF3678">
        <w:tc>
          <w:tcPr>
            <w:tcW w:w="2122" w:type="dxa"/>
            <w:shd w:val="clear" w:color="auto" w:fill="DEEAF6" w:themeFill="accent1" w:themeFillTint="33"/>
          </w:tcPr>
          <w:p w:rsidR="00A353AE" w:rsidRPr="006F15B1" w:rsidRDefault="00A353AE" w:rsidP="00DF3678">
            <w:pPr>
              <w:rPr>
                <w:rFonts w:cstheme="minorHAnsi"/>
                <w:sz w:val="20"/>
                <w:szCs w:val="20"/>
              </w:rPr>
            </w:pPr>
            <w:r w:rsidRPr="006F15B1">
              <w:rPr>
                <w:rFonts w:cstheme="minorHAnsi"/>
                <w:sz w:val="20"/>
                <w:szCs w:val="20"/>
              </w:rPr>
              <w:t xml:space="preserve">Title </w:t>
            </w:r>
          </w:p>
        </w:tc>
        <w:tc>
          <w:tcPr>
            <w:tcW w:w="6894" w:type="dxa"/>
          </w:tcPr>
          <w:p w:rsidR="00A353AE" w:rsidRPr="003A1761" w:rsidRDefault="00A353AE" w:rsidP="00DF3678">
            <w:pPr>
              <w:rPr>
                <w:rFonts w:cstheme="minorHAnsi"/>
                <w:sz w:val="20"/>
                <w:szCs w:val="20"/>
              </w:rPr>
            </w:pPr>
            <w:r>
              <w:rPr>
                <w:rFonts w:cstheme="minorHAnsi"/>
                <w:sz w:val="20"/>
                <w:szCs w:val="20"/>
              </w:rPr>
              <w:t>Dr</w:t>
            </w:r>
          </w:p>
        </w:tc>
      </w:tr>
      <w:tr w:rsidR="00A353AE" w:rsidRPr="006F15B1" w:rsidTr="00DF3678">
        <w:tc>
          <w:tcPr>
            <w:tcW w:w="2122" w:type="dxa"/>
            <w:shd w:val="clear" w:color="auto" w:fill="DEEAF6" w:themeFill="accent1" w:themeFillTint="33"/>
          </w:tcPr>
          <w:p w:rsidR="00A353AE" w:rsidRPr="006F15B1" w:rsidRDefault="00A353AE" w:rsidP="00DF3678">
            <w:pPr>
              <w:rPr>
                <w:rFonts w:cstheme="minorHAnsi"/>
                <w:b/>
                <w:sz w:val="20"/>
                <w:szCs w:val="20"/>
              </w:rPr>
            </w:pPr>
            <w:r w:rsidRPr="006F15B1">
              <w:rPr>
                <w:rFonts w:cstheme="minorHAnsi"/>
                <w:sz w:val="20"/>
                <w:szCs w:val="20"/>
              </w:rPr>
              <w:t>Lead Presenter First Name</w:t>
            </w:r>
          </w:p>
        </w:tc>
        <w:tc>
          <w:tcPr>
            <w:tcW w:w="6894" w:type="dxa"/>
          </w:tcPr>
          <w:p w:rsidR="00A353AE" w:rsidRPr="00C215F8" w:rsidRDefault="00A353AE" w:rsidP="00DF3678">
            <w:pPr>
              <w:rPr>
                <w:rFonts w:cstheme="minorHAnsi"/>
                <w:sz w:val="20"/>
                <w:szCs w:val="20"/>
              </w:rPr>
            </w:pPr>
            <w:proofErr w:type="spellStart"/>
            <w:r>
              <w:rPr>
                <w:rFonts w:cstheme="minorHAnsi"/>
                <w:sz w:val="20"/>
                <w:szCs w:val="20"/>
              </w:rPr>
              <w:t>Getachew</w:t>
            </w:r>
            <w:proofErr w:type="spellEnd"/>
          </w:p>
        </w:tc>
      </w:tr>
      <w:tr w:rsidR="00A353AE" w:rsidRPr="006F15B1" w:rsidTr="00DF3678">
        <w:tc>
          <w:tcPr>
            <w:tcW w:w="2122" w:type="dxa"/>
            <w:shd w:val="clear" w:color="auto" w:fill="DEEAF6" w:themeFill="accent1" w:themeFillTint="33"/>
          </w:tcPr>
          <w:p w:rsidR="00A353AE" w:rsidRPr="006F15B1" w:rsidRDefault="00A353AE" w:rsidP="00DF3678">
            <w:pPr>
              <w:rPr>
                <w:rFonts w:cstheme="minorHAnsi"/>
                <w:b/>
                <w:sz w:val="20"/>
                <w:szCs w:val="20"/>
              </w:rPr>
            </w:pPr>
            <w:r w:rsidRPr="006F15B1">
              <w:rPr>
                <w:rFonts w:cstheme="minorHAnsi"/>
                <w:sz w:val="20"/>
                <w:szCs w:val="20"/>
              </w:rPr>
              <w:t>Lead Presenter Last Name</w:t>
            </w:r>
          </w:p>
        </w:tc>
        <w:tc>
          <w:tcPr>
            <w:tcW w:w="6894" w:type="dxa"/>
          </w:tcPr>
          <w:p w:rsidR="00A353AE" w:rsidRPr="00C215F8" w:rsidRDefault="00A353AE" w:rsidP="00DF3678">
            <w:pPr>
              <w:rPr>
                <w:rFonts w:cstheme="minorHAnsi"/>
                <w:sz w:val="20"/>
                <w:szCs w:val="20"/>
              </w:rPr>
            </w:pPr>
            <w:bookmarkStart w:id="0" w:name="_GoBack"/>
            <w:proofErr w:type="spellStart"/>
            <w:r>
              <w:rPr>
                <w:rFonts w:cstheme="minorHAnsi"/>
                <w:sz w:val="20"/>
                <w:szCs w:val="20"/>
              </w:rPr>
              <w:t>Assefa</w:t>
            </w:r>
            <w:bookmarkEnd w:id="0"/>
            <w:proofErr w:type="spellEnd"/>
          </w:p>
        </w:tc>
      </w:tr>
      <w:tr w:rsidR="00A353AE" w:rsidRPr="006F15B1" w:rsidTr="00DF3678">
        <w:tc>
          <w:tcPr>
            <w:tcW w:w="2122" w:type="dxa"/>
            <w:shd w:val="clear" w:color="auto" w:fill="DEEAF6" w:themeFill="accent1" w:themeFillTint="33"/>
          </w:tcPr>
          <w:p w:rsidR="00A353AE" w:rsidRPr="006F15B1" w:rsidRDefault="00A353AE" w:rsidP="00DF3678">
            <w:pPr>
              <w:rPr>
                <w:rFonts w:cstheme="minorHAnsi"/>
                <w:b/>
                <w:sz w:val="20"/>
                <w:szCs w:val="20"/>
              </w:rPr>
            </w:pPr>
            <w:r w:rsidRPr="006F15B1">
              <w:rPr>
                <w:rFonts w:cstheme="minorHAnsi"/>
                <w:sz w:val="20"/>
                <w:szCs w:val="20"/>
              </w:rPr>
              <w:t>Organisation of Lead Presenter</w:t>
            </w:r>
          </w:p>
        </w:tc>
        <w:tc>
          <w:tcPr>
            <w:tcW w:w="6894" w:type="dxa"/>
          </w:tcPr>
          <w:p w:rsidR="00A353AE" w:rsidRPr="006F15B1" w:rsidRDefault="00A353AE" w:rsidP="00DF3678">
            <w:pPr>
              <w:rPr>
                <w:rFonts w:cstheme="minorHAnsi"/>
                <w:b/>
                <w:sz w:val="20"/>
                <w:szCs w:val="20"/>
              </w:rPr>
            </w:pPr>
            <w:r w:rsidRPr="003A1761">
              <w:rPr>
                <w:rFonts w:cstheme="minorHAnsi"/>
                <w:sz w:val="20"/>
                <w:szCs w:val="20"/>
              </w:rPr>
              <w:t>Addis Ababa University</w:t>
            </w:r>
          </w:p>
        </w:tc>
      </w:tr>
      <w:tr w:rsidR="00A353AE" w:rsidRPr="006F15B1" w:rsidTr="00DF3678">
        <w:tc>
          <w:tcPr>
            <w:tcW w:w="2122" w:type="dxa"/>
            <w:shd w:val="clear" w:color="auto" w:fill="DEEAF6" w:themeFill="accent1" w:themeFillTint="33"/>
          </w:tcPr>
          <w:p w:rsidR="00A353AE" w:rsidRPr="006F15B1" w:rsidRDefault="00A353AE" w:rsidP="00DF3678">
            <w:pPr>
              <w:rPr>
                <w:rFonts w:cstheme="minorHAnsi"/>
                <w:sz w:val="20"/>
                <w:szCs w:val="20"/>
              </w:rPr>
            </w:pPr>
            <w:r w:rsidRPr="006F15B1">
              <w:rPr>
                <w:rFonts w:cstheme="minorHAnsi"/>
                <w:sz w:val="20"/>
                <w:szCs w:val="20"/>
              </w:rPr>
              <w:t>Name/s and details of other presenters</w:t>
            </w:r>
          </w:p>
        </w:tc>
        <w:tc>
          <w:tcPr>
            <w:tcW w:w="6894" w:type="dxa"/>
          </w:tcPr>
          <w:p w:rsidR="00A353AE" w:rsidRPr="006F15B1" w:rsidRDefault="00A353AE" w:rsidP="00DF3678">
            <w:pPr>
              <w:rPr>
                <w:rFonts w:cstheme="minorHAnsi"/>
                <w:b/>
                <w:sz w:val="20"/>
                <w:szCs w:val="20"/>
              </w:rPr>
            </w:pPr>
          </w:p>
        </w:tc>
      </w:tr>
      <w:tr w:rsidR="00A353AE" w:rsidRPr="006F15B1" w:rsidTr="00DF3678">
        <w:tc>
          <w:tcPr>
            <w:tcW w:w="2122" w:type="dxa"/>
            <w:shd w:val="clear" w:color="auto" w:fill="DEEAF6" w:themeFill="accent1" w:themeFillTint="33"/>
          </w:tcPr>
          <w:p w:rsidR="00A353AE" w:rsidRPr="006F15B1" w:rsidRDefault="00A353AE" w:rsidP="00DF3678">
            <w:pPr>
              <w:rPr>
                <w:rFonts w:cstheme="minorHAnsi"/>
                <w:sz w:val="20"/>
                <w:szCs w:val="20"/>
              </w:rPr>
            </w:pPr>
            <w:r w:rsidRPr="006F15B1">
              <w:rPr>
                <w:rFonts w:cstheme="minorHAnsi"/>
                <w:sz w:val="20"/>
                <w:szCs w:val="20"/>
              </w:rPr>
              <w:t xml:space="preserve">Title of Proposal </w:t>
            </w:r>
          </w:p>
        </w:tc>
        <w:tc>
          <w:tcPr>
            <w:tcW w:w="6894" w:type="dxa"/>
          </w:tcPr>
          <w:p w:rsidR="00A353AE" w:rsidRPr="006F15B1" w:rsidRDefault="00A353AE" w:rsidP="00DF3678">
            <w:pPr>
              <w:rPr>
                <w:rFonts w:cstheme="minorHAnsi"/>
                <w:b/>
                <w:sz w:val="20"/>
                <w:szCs w:val="20"/>
              </w:rPr>
            </w:pPr>
            <w:r w:rsidRPr="003A1761">
              <w:rPr>
                <w:rFonts w:cstheme="minorHAnsi"/>
                <w:sz w:val="20"/>
                <w:szCs w:val="20"/>
              </w:rPr>
              <w:t xml:space="preserve">Bridging the ‘modern’ and the ‘traditional’ in the Ethiopian Legal System: the role of clinical legal education </w:t>
            </w:r>
          </w:p>
        </w:tc>
      </w:tr>
      <w:tr w:rsidR="00A353AE" w:rsidRPr="006F15B1" w:rsidTr="00DF3678">
        <w:tc>
          <w:tcPr>
            <w:tcW w:w="2122" w:type="dxa"/>
            <w:shd w:val="clear" w:color="auto" w:fill="DEEAF6" w:themeFill="accent1" w:themeFillTint="33"/>
          </w:tcPr>
          <w:p w:rsidR="00A353AE" w:rsidRPr="006F15B1" w:rsidRDefault="00A353AE" w:rsidP="00DF3678">
            <w:pPr>
              <w:rPr>
                <w:rFonts w:cstheme="minorHAnsi"/>
                <w:b/>
                <w:sz w:val="20"/>
                <w:szCs w:val="20"/>
              </w:rPr>
            </w:pPr>
            <w:r w:rsidRPr="006F15B1">
              <w:rPr>
                <w:rFonts w:cstheme="minorHAnsi"/>
                <w:sz w:val="20"/>
                <w:szCs w:val="20"/>
              </w:rPr>
              <w:t>Summary of Proposal</w:t>
            </w:r>
          </w:p>
        </w:tc>
        <w:tc>
          <w:tcPr>
            <w:tcW w:w="6894" w:type="dxa"/>
          </w:tcPr>
          <w:p w:rsidR="00A353AE" w:rsidRPr="006F15B1" w:rsidRDefault="00A353AE" w:rsidP="00DF3678">
            <w:pPr>
              <w:rPr>
                <w:rFonts w:cstheme="minorHAnsi"/>
                <w:b/>
                <w:sz w:val="20"/>
                <w:szCs w:val="20"/>
              </w:rPr>
            </w:pPr>
            <w:r w:rsidRPr="003A1761">
              <w:rPr>
                <w:rFonts w:cstheme="minorHAnsi"/>
                <w:sz w:val="20"/>
                <w:szCs w:val="20"/>
              </w:rPr>
              <w:t xml:space="preserve">Based on the notion of legal pluralism by theorists like John Griffiths, this paper explains the nascent endeavours of clinical legal education in Ethiopia in blending customary and formal laws to ensure access to justice to the poor and vulnerable sections of the society. It argues that more space need to be afforded to customary institutions of justice in order to create multiple points of dispute resolution and thereby ensuring better access to justice. </w:t>
            </w:r>
          </w:p>
        </w:tc>
      </w:tr>
      <w:tr w:rsidR="00A353AE" w:rsidRPr="006F15B1" w:rsidTr="00DF3678">
        <w:tc>
          <w:tcPr>
            <w:tcW w:w="2122" w:type="dxa"/>
            <w:shd w:val="clear" w:color="auto" w:fill="DEEAF6" w:themeFill="accent1" w:themeFillTint="33"/>
          </w:tcPr>
          <w:p w:rsidR="00A353AE" w:rsidRPr="006F15B1" w:rsidRDefault="00A353AE" w:rsidP="00DF3678">
            <w:pPr>
              <w:rPr>
                <w:rFonts w:cstheme="minorHAnsi"/>
                <w:b/>
                <w:sz w:val="20"/>
                <w:szCs w:val="20"/>
              </w:rPr>
            </w:pPr>
            <w:r w:rsidRPr="006F15B1">
              <w:rPr>
                <w:rFonts w:cstheme="minorHAnsi"/>
                <w:sz w:val="20"/>
                <w:szCs w:val="20"/>
              </w:rPr>
              <w:t>Abstract Proposal</w:t>
            </w:r>
          </w:p>
        </w:tc>
        <w:tc>
          <w:tcPr>
            <w:tcW w:w="6894" w:type="dxa"/>
          </w:tcPr>
          <w:p w:rsidR="00A353AE" w:rsidRPr="006F15B1" w:rsidRDefault="00A353AE" w:rsidP="00DF3678">
            <w:pPr>
              <w:rPr>
                <w:rFonts w:cstheme="minorHAnsi"/>
                <w:b/>
                <w:sz w:val="20"/>
                <w:szCs w:val="20"/>
              </w:rPr>
            </w:pPr>
            <w:r w:rsidRPr="003A1761">
              <w:rPr>
                <w:rFonts w:cstheme="minorHAnsi"/>
                <w:sz w:val="20"/>
                <w:szCs w:val="20"/>
              </w:rPr>
              <w:t xml:space="preserve">Ethiopia adopted European based modern codes in the 1950s and </w:t>
            </w:r>
            <w:proofErr w:type="gramStart"/>
            <w:r w:rsidRPr="003A1761">
              <w:rPr>
                <w:rFonts w:cstheme="minorHAnsi"/>
                <w:sz w:val="20"/>
                <w:szCs w:val="20"/>
              </w:rPr>
              <w:t>60s which</w:t>
            </w:r>
            <w:proofErr w:type="gramEnd"/>
            <w:r w:rsidRPr="003A1761">
              <w:rPr>
                <w:rFonts w:cstheme="minorHAnsi"/>
                <w:sz w:val="20"/>
                <w:szCs w:val="20"/>
              </w:rPr>
              <w:t xml:space="preserve"> were drafted by comparative law experts such as Rene David of France. The main goal of the legal transplantation was to ‘modernize’ legal transactions and relations. The legal modernization drive aimed at completely disbanding the customary law of the society and creating a uniform legal system based on the Western laws. More than half a century after that attempt, customary law is as vibrant as it has ever been. Since 1991, some customary laws such as customary family and personal laws </w:t>
            </w:r>
            <w:proofErr w:type="gramStart"/>
            <w:r w:rsidRPr="003A1761">
              <w:rPr>
                <w:rFonts w:cstheme="minorHAnsi"/>
                <w:sz w:val="20"/>
                <w:szCs w:val="20"/>
              </w:rPr>
              <w:t>are now recognized</w:t>
            </w:r>
            <w:proofErr w:type="gramEnd"/>
            <w:r w:rsidRPr="003A1761">
              <w:rPr>
                <w:rFonts w:cstheme="minorHAnsi"/>
                <w:sz w:val="20"/>
                <w:szCs w:val="20"/>
              </w:rPr>
              <w:t xml:space="preserve"> by the Constitution. In most other areas like criminal law, although the law does not formally recognize customary law, de facto they </w:t>
            </w:r>
            <w:proofErr w:type="gramStart"/>
            <w:r w:rsidRPr="003A1761">
              <w:rPr>
                <w:rFonts w:cstheme="minorHAnsi"/>
                <w:sz w:val="20"/>
                <w:szCs w:val="20"/>
              </w:rPr>
              <w:t>are used</w:t>
            </w:r>
            <w:proofErr w:type="gramEnd"/>
            <w:r w:rsidRPr="003A1761">
              <w:rPr>
                <w:rFonts w:cstheme="minorHAnsi"/>
                <w:sz w:val="20"/>
                <w:szCs w:val="20"/>
              </w:rPr>
              <w:t xml:space="preserve"> by the society. Thus, there is a different degree of both de facto and de jure legal pluralism in Ethiopia at present. Legal education in Ethiopia pays attention to customary dispute resolution system alongside the modern state based laws. </w:t>
            </w: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19498E"/>
    <w:rsid w:val="00221AC6"/>
    <w:rsid w:val="002403C2"/>
    <w:rsid w:val="0025084B"/>
    <w:rsid w:val="00263F7D"/>
    <w:rsid w:val="00270D3F"/>
    <w:rsid w:val="002D26FD"/>
    <w:rsid w:val="003A1165"/>
    <w:rsid w:val="004A1988"/>
    <w:rsid w:val="004D5F1D"/>
    <w:rsid w:val="00553798"/>
    <w:rsid w:val="0058352A"/>
    <w:rsid w:val="005B2500"/>
    <w:rsid w:val="005F3C49"/>
    <w:rsid w:val="00660CB9"/>
    <w:rsid w:val="007A3C8F"/>
    <w:rsid w:val="00801C79"/>
    <w:rsid w:val="0089529B"/>
    <w:rsid w:val="009F359D"/>
    <w:rsid w:val="00A353AE"/>
    <w:rsid w:val="00A42D9F"/>
    <w:rsid w:val="00A55843"/>
    <w:rsid w:val="00A67C8E"/>
    <w:rsid w:val="00B13FC1"/>
    <w:rsid w:val="00B515C8"/>
    <w:rsid w:val="00C222C5"/>
    <w:rsid w:val="00C71C00"/>
    <w:rsid w:val="00D72E93"/>
    <w:rsid w:val="00E56E8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Company>Northumbria University at Newcastle</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2019-06-20T12:21:00Z</dcterms:created>
  <dcterms:modified xsi:type="dcterms:W3CDTF">2019-06-20T12:21:00Z</dcterms:modified>
</cp:coreProperties>
</file>