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Dr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Lyndsey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6F15B1">
              <w:rPr>
                <w:rFonts w:cstheme="minorHAnsi"/>
                <w:sz w:val="20"/>
                <w:szCs w:val="20"/>
              </w:rPr>
              <w:t>Bengtsson</w:t>
            </w:r>
          </w:p>
          <w:bookmarkEnd w:id="0"/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Northumbria University Newcastle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Dr Rachel Dunn,  Northumbria University Newcastle, UK, Lecturer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Evaluation of the introduction of policy/law reform clinic at Northumbria University: influencing law and policy reform as an effective teaching tool for students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tabs>
                <w:tab w:val="left" w:pos="1530"/>
              </w:tabs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b/>
                <w:sz w:val="20"/>
                <w:szCs w:val="20"/>
              </w:rPr>
              <w:tab/>
            </w:r>
          </w:p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This paper presentation will discuss the activities undertaken by the students in the policy/law reform clinic at Northumbria University and the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authors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thoughts on the challenges and benefits of the clinic. Data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will be presented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from student focus groups as to whether the clinic is an effective educational tool and how the research may influence law reform/policy in that area, contributing to a just society.</w:t>
            </w:r>
          </w:p>
          <w:p w:rsidR="00263F7D" w:rsidRPr="006F15B1" w:rsidRDefault="00263F7D" w:rsidP="004754BF">
            <w:pPr>
              <w:tabs>
                <w:tab w:val="left" w:pos="153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3F7D" w:rsidRPr="006F15B1" w:rsidTr="004754BF">
        <w:tc>
          <w:tcPr>
            <w:tcW w:w="2122" w:type="dxa"/>
            <w:shd w:val="clear" w:color="auto" w:fill="DEEAF6" w:themeFill="accent1" w:themeFillTint="33"/>
          </w:tcPr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263F7D" w:rsidRPr="006F15B1" w:rsidRDefault="00263F7D" w:rsidP="004754BF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The authors of this paper are clinic supervisors at Northumbria University in Newcastle Upon Tyne, England and supervised a number of students in a policy/law reform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clinic which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was introduced in the academic year 2018-2019. The clinic involves the students supporting their clinic supervisor in research projects, through a range of activities. The aim of the policy clinic is to enrich the students experience whilst simultaneously influencing policy/law reform.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The authors conducted research into whether this method of teaching is effective. The research aims were to identify whether participation in the policy/law reform clinic: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1. Is an effective educational tool for developing the skills they will require for the world of work.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2. Increases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the students’ understanding of the particular area of law and how the research may influence law reform/policy in that area, contributing to a just society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.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3. To determine how students compare and contrast the law reform/policy work to that of their client work within the Student Law Office, where they have undertaken both during the course of the academic year.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After the policy clinic work had finished, students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were invited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to participate in focus groups, asking them to discuss their experiences and whether they felt that participation in the policy clinic achieved the aims set out above. </w:t>
            </w:r>
            <w:r w:rsidRPr="006F15B1">
              <w:rPr>
                <w:rFonts w:cstheme="minorHAnsi"/>
                <w:sz w:val="20"/>
                <w:szCs w:val="20"/>
              </w:rPr>
              <w:br/>
            </w:r>
            <w:r w:rsidRPr="006F15B1">
              <w:rPr>
                <w:rFonts w:cstheme="minorHAnsi"/>
                <w:sz w:val="20"/>
                <w:szCs w:val="20"/>
              </w:rPr>
              <w:br/>
              <w:t xml:space="preserve">This paper will discuss the activities undertaken by the students and will present </w:t>
            </w:r>
            <w:r w:rsidRPr="006F15B1">
              <w:rPr>
                <w:rFonts w:cstheme="minorHAnsi"/>
                <w:sz w:val="20"/>
                <w:szCs w:val="20"/>
              </w:rPr>
              <w:lastRenderedPageBreak/>
              <w:t xml:space="preserve">the data gathered. In addition, the authors will discuss their thoughts on the challenges and benefits of incorporating policy/law reform clinics within the clinical curriculum and whether law/policy reform research </w:t>
            </w:r>
            <w:proofErr w:type="gramStart"/>
            <w:r w:rsidRPr="006F15B1">
              <w:rPr>
                <w:rFonts w:cstheme="minorHAnsi"/>
                <w:sz w:val="20"/>
                <w:szCs w:val="20"/>
              </w:rPr>
              <w:t>can be appropriately developed</w:t>
            </w:r>
            <w:proofErr w:type="gramEnd"/>
            <w:r w:rsidRPr="006F15B1">
              <w:rPr>
                <w:rFonts w:cstheme="minorHAnsi"/>
                <w:sz w:val="20"/>
                <w:szCs w:val="20"/>
              </w:rPr>
              <w:t xml:space="preserve"> in an educational setting.</w:t>
            </w: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  <w:p w:rsidR="00263F7D" w:rsidRPr="006F15B1" w:rsidRDefault="00263F7D" w:rsidP="004754B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53798" w:rsidRDefault="00553798"/>
    <w:sectPr w:rsidR="005537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263F7D"/>
    <w:rsid w:val="003A1165"/>
    <w:rsid w:val="00553798"/>
    <w:rsid w:val="007A3C8F"/>
    <w:rsid w:val="00A42D9F"/>
    <w:rsid w:val="00B515C8"/>
    <w:rsid w:val="00C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85A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Northumbria University at Newcastle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2019-06-20T11:28:00Z</dcterms:created>
  <dcterms:modified xsi:type="dcterms:W3CDTF">2019-06-20T11:28:00Z</dcterms:modified>
</cp:coreProperties>
</file>