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5C8" w:rsidRPr="006F15B1" w:rsidRDefault="00B515C8" w:rsidP="00B515C8">
      <w:pPr>
        <w:jc w:val="center"/>
        <w:rPr>
          <w:rFonts w:cstheme="minorHAnsi"/>
          <w:b/>
          <w:sz w:val="20"/>
          <w:szCs w:val="20"/>
        </w:rPr>
      </w:pPr>
      <w:r w:rsidRPr="006F15B1">
        <w:rPr>
          <w:rFonts w:cstheme="minorHAnsi"/>
          <w:b/>
          <w:sz w:val="20"/>
          <w:szCs w:val="20"/>
        </w:rPr>
        <w:t>Comenius University / International Journal of Clinical Legal Education Conference</w:t>
      </w:r>
    </w:p>
    <w:p w:rsidR="00B515C8" w:rsidRDefault="00B515C8" w:rsidP="00B515C8">
      <w:pPr>
        <w:jc w:val="center"/>
        <w:rPr>
          <w:rFonts w:cstheme="minorHAnsi"/>
          <w:b/>
          <w:sz w:val="20"/>
          <w:szCs w:val="20"/>
        </w:rPr>
      </w:pPr>
      <w:r w:rsidRPr="006F15B1">
        <w:rPr>
          <w:rFonts w:cstheme="minorHAnsi"/>
          <w:b/>
          <w:sz w:val="20"/>
          <w:szCs w:val="20"/>
        </w:rPr>
        <w:t>ENCLE - IJCLE 2019 Improving the Future: Using Clinical Legal Education to Educate Lawyers for a Just Society</w:t>
      </w:r>
    </w:p>
    <w:tbl>
      <w:tblPr>
        <w:tblStyle w:val="TableGrid"/>
        <w:tblW w:w="0" w:type="auto"/>
        <w:tblLook w:val="04A0" w:firstRow="1" w:lastRow="0" w:firstColumn="1" w:lastColumn="0" w:noHBand="0" w:noVBand="1"/>
      </w:tblPr>
      <w:tblGrid>
        <w:gridCol w:w="2122"/>
        <w:gridCol w:w="6894"/>
      </w:tblGrid>
      <w:tr w:rsidR="00CF757E" w:rsidRPr="006F15B1" w:rsidTr="004754BF">
        <w:tc>
          <w:tcPr>
            <w:tcW w:w="2122" w:type="dxa"/>
            <w:shd w:val="clear" w:color="auto" w:fill="DEEAF6" w:themeFill="accent1" w:themeFillTint="33"/>
          </w:tcPr>
          <w:p w:rsidR="00CF757E" w:rsidRPr="006F15B1" w:rsidRDefault="00CF757E" w:rsidP="004754BF">
            <w:pPr>
              <w:rPr>
                <w:rFonts w:cstheme="minorHAnsi"/>
                <w:sz w:val="20"/>
                <w:szCs w:val="20"/>
              </w:rPr>
            </w:pPr>
            <w:r w:rsidRPr="006F15B1">
              <w:rPr>
                <w:rFonts w:cstheme="minorHAnsi"/>
                <w:sz w:val="20"/>
                <w:szCs w:val="20"/>
              </w:rPr>
              <w:t xml:space="preserve">Title </w:t>
            </w:r>
          </w:p>
        </w:tc>
        <w:tc>
          <w:tcPr>
            <w:tcW w:w="6894" w:type="dxa"/>
          </w:tcPr>
          <w:p w:rsidR="00CF757E" w:rsidRPr="006F15B1" w:rsidRDefault="00CF757E" w:rsidP="004754BF">
            <w:pPr>
              <w:rPr>
                <w:rFonts w:cstheme="minorHAnsi"/>
                <w:sz w:val="20"/>
                <w:szCs w:val="20"/>
              </w:rPr>
            </w:pPr>
            <w:r w:rsidRPr="006F15B1">
              <w:rPr>
                <w:rFonts w:cstheme="minorHAnsi"/>
                <w:sz w:val="20"/>
                <w:szCs w:val="20"/>
              </w:rPr>
              <w:t>Dr</w:t>
            </w:r>
          </w:p>
          <w:p w:rsidR="00CF757E" w:rsidRPr="006F15B1" w:rsidRDefault="00CF757E" w:rsidP="004754BF">
            <w:pPr>
              <w:rPr>
                <w:rFonts w:cstheme="minorHAnsi"/>
                <w:b/>
                <w:sz w:val="20"/>
                <w:szCs w:val="20"/>
              </w:rPr>
            </w:pPr>
          </w:p>
        </w:tc>
      </w:tr>
      <w:tr w:rsidR="00CF757E" w:rsidRPr="006F15B1" w:rsidTr="004754BF">
        <w:tc>
          <w:tcPr>
            <w:tcW w:w="2122" w:type="dxa"/>
            <w:shd w:val="clear" w:color="auto" w:fill="DEEAF6" w:themeFill="accent1" w:themeFillTint="33"/>
          </w:tcPr>
          <w:p w:rsidR="00CF757E" w:rsidRPr="006F15B1" w:rsidRDefault="00CF757E" w:rsidP="004754BF">
            <w:pPr>
              <w:rPr>
                <w:rFonts w:cstheme="minorHAnsi"/>
                <w:b/>
                <w:sz w:val="20"/>
                <w:szCs w:val="20"/>
              </w:rPr>
            </w:pPr>
            <w:r w:rsidRPr="006F15B1">
              <w:rPr>
                <w:rFonts w:cstheme="minorHAnsi"/>
                <w:sz w:val="20"/>
                <w:szCs w:val="20"/>
              </w:rPr>
              <w:t>Lead Presenter First Name</w:t>
            </w:r>
          </w:p>
        </w:tc>
        <w:tc>
          <w:tcPr>
            <w:tcW w:w="6894" w:type="dxa"/>
          </w:tcPr>
          <w:p w:rsidR="00CF757E" w:rsidRPr="006F15B1" w:rsidRDefault="00CF757E" w:rsidP="004754BF">
            <w:pPr>
              <w:rPr>
                <w:rFonts w:cstheme="minorHAnsi"/>
                <w:sz w:val="20"/>
                <w:szCs w:val="20"/>
              </w:rPr>
            </w:pPr>
            <w:r w:rsidRPr="006F15B1">
              <w:rPr>
                <w:rFonts w:cstheme="minorHAnsi"/>
                <w:sz w:val="20"/>
                <w:szCs w:val="20"/>
              </w:rPr>
              <w:t>Jan</w:t>
            </w:r>
          </w:p>
          <w:p w:rsidR="00CF757E" w:rsidRPr="006F15B1" w:rsidRDefault="00CF757E" w:rsidP="004754BF">
            <w:pPr>
              <w:rPr>
                <w:rFonts w:cstheme="minorHAnsi"/>
                <w:b/>
                <w:sz w:val="20"/>
                <w:szCs w:val="20"/>
              </w:rPr>
            </w:pPr>
          </w:p>
        </w:tc>
      </w:tr>
      <w:tr w:rsidR="00CF757E" w:rsidRPr="006F15B1" w:rsidTr="004754BF">
        <w:tc>
          <w:tcPr>
            <w:tcW w:w="2122" w:type="dxa"/>
            <w:shd w:val="clear" w:color="auto" w:fill="DEEAF6" w:themeFill="accent1" w:themeFillTint="33"/>
          </w:tcPr>
          <w:p w:rsidR="00CF757E" w:rsidRPr="006F15B1" w:rsidRDefault="00CF757E" w:rsidP="004754BF">
            <w:pPr>
              <w:rPr>
                <w:rFonts w:cstheme="minorHAnsi"/>
                <w:b/>
                <w:sz w:val="20"/>
                <w:szCs w:val="20"/>
              </w:rPr>
            </w:pPr>
            <w:r w:rsidRPr="006F15B1">
              <w:rPr>
                <w:rFonts w:cstheme="minorHAnsi"/>
                <w:sz w:val="20"/>
                <w:szCs w:val="20"/>
              </w:rPr>
              <w:t>Lead Presenter Last Name</w:t>
            </w:r>
          </w:p>
        </w:tc>
        <w:tc>
          <w:tcPr>
            <w:tcW w:w="6894" w:type="dxa"/>
          </w:tcPr>
          <w:p w:rsidR="00CF757E" w:rsidRPr="006F15B1" w:rsidRDefault="00CF757E" w:rsidP="004754BF">
            <w:pPr>
              <w:rPr>
                <w:rFonts w:cstheme="minorHAnsi"/>
                <w:sz w:val="20"/>
                <w:szCs w:val="20"/>
              </w:rPr>
            </w:pPr>
            <w:bookmarkStart w:id="0" w:name="_GoBack"/>
            <w:r w:rsidRPr="006F15B1">
              <w:rPr>
                <w:rFonts w:cstheme="minorHAnsi"/>
                <w:sz w:val="20"/>
                <w:szCs w:val="20"/>
              </w:rPr>
              <w:t>Mazur</w:t>
            </w:r>
          </w:p>
          <w:bookmarkEnd w:id="0"/>
          <w:p w:rsidR="00CF757E" w:rsidRPr="006F15B1" w:rsidRDefault="00CF757E" w:rsidP="004754BF">
            <w:pPr>
              <w:rPr>
                <w:rFonts w:cstheme="minorHAnsi"/>
                <w:b/>
                <w:sz w:val="20"/>
                <w:szCs w:val="20"/>
              </w:rPr>
            </w:pPr>
          </w:p>
        </w:tc>
      </w:tr>
      <w:tr w:rsidR="00CF757E" w:rsidRPr="006F15B1" w:rsidTr="004754BF">
        <w:tc>
          <w:tcPr>
            <w:tcW w:w="2122" w:type="dxa"/>
            <w:shd w:val="clear" w:color="auto" w:fill="DEEAF6" w:themeFill="accent1" w:themeFillTint="33"/>
          </w:tcPr>
          <w:p w:rsidR="00CF757E" w:rsidRPr="006F15B1" w:rsidRDefault="00CF757E" w:rsidP="004754BF">
            <w:pPr>
              <w:rPr>
                <w:rFonts w:cstheme="minorHAnsi"/>
                <w:b/>
                <w:sz w:val="20"/>
                <w:szCs w:val="20"/>
              </w:rPr>
            </w:pPr>
            <w:r w:rsidRPr="006F15B1">
              <w:rPr>
                <w:rFonts w:cstheme="minorHAnsi"/>
                <w:sz w:val="20"/>
                <w:szCs w:val="20"/>
              </w:rPr>
              <w:t>Organisation of Lead Presenter</w:t>
            </w:r>
          </w:p>
        </w:tc>
        <w:tc>
          <w:tcPr>
            <w:tcW w:w="6894" w:type="dxa"/>
          </w:tcPr>
          <w:p w:rsidR="00CF757E" w:rsidRPr="006F15B1" w:rsidRDefault="00CF757E" w:rsidP="004754BF">
            <w:pPr>
              <w:rPr>
                <w:rFonts w:cstheme="minorHAnsi"/>
                <w:sz w:val="20"/>
                <w:szCs w:val="20"/>
              </w:rPr>
            </w:pPr>
            <w:r w:rsidRPr="006F15B1">
              <w:rPr>
                <w:rFonts w:cstheme="minorHAnsi"/>
                <w:sz w:val="20"/>
                <w:szCs w:val="20"/>
              </w:rPr>
              <w:t>Comenius University in Bratislava, Faculty of Law</w:t>
            </w:r>
          </w:p>
          <w:p w:rsidR="00CF757E" w:rsidRPr="006F15B1" w:rsidRDefault="00CF757E" w:rsidP="004754BF">
            <w:pPr>
              <w:rPr>
                <w:rFonts w:cstheme="minorHAnsi"/>
                <w:b/>
                <w:sz w:val="20"/>
                <w:szCs w:val="20"/>
              </w:rPr>
            </w:pPr>
          </w:p>
        </w:tc>
      </w:tr>
      <w:tr w:rsidR="00CF757E" w:rsidRPr="006F15B1" w:rsidTr="004754BF">
        <w:tc>
          <w:tcPr>
            <w:tcW w:w="2122" w:type="dxa"/>
            <w:shd w:val="clear" w:color="auto" w:fill="DEEAF6" w:themeFill="accent1" w:themeFillTint="33"/>
          </w:tcPr>
          <w:p w:rsidR="00CF757E" w:rsidRPr="006F15B1" w:rsidRDefault="00CF757E" w:rsidP="004754BF">
            <w:pPr>
              <w:rPr>
                <w:rFonts w:cstheme="minorHAnsi"/>
                <w:sz w:val="20"/>
                <w:szCs w:val="20"/>
              </w:rPr>
            </w:pPr>
            <w:r w:rsidRPr="006F15B1">
              <w:rPr>
                <w:rFonts w:cstheme="minorHAnsi"/>
                <w:sz w:val="20"/>
                <w:szCs w:val="20"/>
              </w:rPr>
              <w:t>Name/s and details of other presenters</w:t>
            </w:r>
          </w:p>
        </w:tc>
        <w:tc>
          <w:tcPr>
            <w:tcW w:w="6894" w:type="dxa"/>
          </w:tcPr>
          <w:p w:rsidR="00CF757E" w:rsidRPr="006F15B1" w:rsidRDefault="00CF757E" w:rsidP="004754BF">
            <w:pPr>
              <w:rPr>
                <w:rFonts w:cstheme="minorHAnsi"/>
                <w:sz w:val="20"/>
                <w:szCs w:val="20"/>
              </w:rPr>
            </w:pPr>
            <w:r w:rsidRPr="006F15B1">
              <w:rPr>
                <w:rFonts w:cstheme="minorHAnsi"/>
                <w:sz w:val="20"/>
                <w:szCs w:val="20"/>
              </w:rPr>
              <w:t xml:space="preserve">Dr. Lucia </w:t>
            </w:r>
            <w:proofErr w:type="spellStart"/>
            <w:r>
              <w:rPr>
                <w:rFonts w:cstheme="minorHAnsi"/>
                <w:sz w:val="20"/>
                <w:szCs w:val="20"/>
              </w:rPr>
              <w:t>berdisova</w:t>
            </w:r>
            <w:proofErr w:type="spellEnd"/>
            <w:r w:rsidRPr="006F15B1">
              <w:rPr>
                <w:rFonts w:cstheme="minorHAnsi"/>
                <w:sz w:val="20"/>
                <w:szCs w:val="20"/>
              </w:rPr>
              <w:t>, Institute of State and Law, Slovak Academy of Sciences, researcher, Slovak Republic</w:t>
            </w:r>
          </w:p>
          <w:p w:rsidR="00CF757E" w:rsidRPr="006F15B1" w:rsidRDefault="00CF757E" w:rsidP="004754BF">
            <w:pPr>
              <w:rPr>
                <w:rFonts w:cstheme="minorHAnsi"/>
                <w:b/>
                <w:sz w:val="20"/>
                <w:szCs w:val="20"/>
              </w:rPr>
            </w:pPr>
          </w:p>
        </w:tc>
      </w:tr>
      <w:tr w:rsidR="00CF757E" w:rsidRPr="006F15B1" w:rsidTr="004754BF">
        <w:tc>
          <w:tcPr>
            <w:tcW w:w="2122" w:type="dxa"/>
            <w:shd w:val="clear" w:color="auto" w:fill="DEEAF6" w:themeFill="accent1" w:themeFillTint="33"/>
          </w:tcPr>
          <w:p w:rsidR="00CF757E" w:rsidRPr="006F15B1" w:rsidRDefault="00CF757E" w:rsidP="004754BF">
            <w:pPr>
              <w:rPr>
                <w:rFonts w:cstheme="minorHAnsi"/>
                <w:sz w:val="20"/>
                <w:szCs w:val="20"/>
              </w:rPr>
            </w:pPr>
            <w:r w:rsidRPr="006F15B1">
              <w:rPr>
                <w:rFonts w:cstheme="minorHAnsi"/>
                <w:sz w:val="20"/>
                <w:szCs w:val="20"/>
              </w:rPr>
              <w:t xml:space="preserve">Title of Proposal </w:t>
            </w:r>
          </w:p>
        </w:tc>
        <w:tc>
          <w:tcPr>
            <w:tcW w:w="6894" w:type="dxa"/>
          </w:tcPr>
          <w:p w:rsidR="00CF757E" w:rsidRPr="00273230" w:rsidRDefault="00CF757E" w:rsidP="004754BF">
            <w:pPr>
              <w:jc w:val="both"/>
              <w:rPr>
                <w:rFonts w:eastAsia="Times New Roman" w:cstheme="minorHAnsi"/>
                <w:i/>
                <w:sz w:val="20"/>
                <w:szCs w:val="20"/>
              </w:rPr>
            </w:pPr>
            <w:r w:rsidRPr="00273230">
              <w:rPr>
                <w:rFonts w:eastAsia="Times New Roman" w:cstheme="minorHAnsi"/>
                <w:i/>
                <w:sz w:val="20"/>
                <w:szCs w:val="20"/>
              </w:rPr>
              <w:t>Lawyers' Ethics in Clinical Legal Education in Slovakia: challenges and prospects</w:t>
            </w:r>
          </w:p>
          <w:p w:rsidR="00CF757E" w:rsidRPr="006F15B1" w:rsidRDefault="00CF757E" w:rsidP="004754BF">
            <w:pPr>
              <w:rPr>
                <w:rFonts w:cstheme="minorHAnsi"/>
                <w:b/>
                <w:sz w:val="20"/>
                <w:szCs w:val="20"/>
              </w:rPr>
            </w:pPr>
          </w:p>
        </w:tc>
      </w:tr>
      <w:tr w:rsidR="00CF757E" w:rsidRPr="006F15B1" w:rsidTr="004754BF">
        <w:tc>
          <w:tcPr>
            <w:tcW w:w="2122" w:type="dxa"/>
            <w:shd w:val="clear" w:color="auto" w:fill="DEEAF6" w:themeFill="accent1" w:themeFillTint="33"/>
          </w:tcPr>
          <w:p w:rsidR="00CF757E" w:rsidRPr="006F15B1" w:rsidRDefault="00CF757E" w:rsidP="004754BF">
            <w:pPr>
              <w:rPr>
                <w:rFonts w:cstheme="minorHAnsi"/>
                <w:b/>
                <w:sz w:val="20"/>
                <w:szCs w:val="20"/>
              </w:rPr>
            </w:pPr>
            <w:r w:rsidRPr="006F15B1">
              <w:rPr>
                <w:rFonts w:cstheme="minorHAnsi"/>
                <w:sz w:val="20"/>
                <w:szCs w:val="20"/>
              </w:rPr>
              <w:t>Summary of Proposal</w:t>
            </w:r>
          </w:p>
        </w:tc>
        <w:tc>
          <w:tcPr>
            <w:tcW w:w="6894" w:type="dxa"/>
          </w:tcPr>
          <w:p w:rsidR="00CF757E" w:rsidRPr="006F15B1" w:rsidRDefault="00CF757E" w:rsidP="004754BF">
            <w:pPr>
              <w:rPr>
                <w:rFonts w:cstheme="minorHAnsi"/>
                <w:sz w:val="20"/>
                <w:szCs w:val="20"/>
              </w:rPr>
            </w:pPr>
            <w:r w:rsidRPr="006F15B1">
              <w:rPr>
                <w:rFonts w:cstheme="minorHAnsi"/>
                <w:sz w:val="20"/>
                <w:szCs w:val="20"/>
              </w:rPr>
              <w:t xml:space="preserve">The paper strives to identify the presence of communication of professional ethics standards in clinical legal education in Slovakia and the methods of this for of the teaching of lawyers’ ethics. Secondly, the paper strives to identify and address the challenges of lawyers’ ethics education in Slovakia in the context of clinical legal education, a separate course on legal ethics and their connection. Based on the provided analysis the prospects of lawyers' ethics in clinical education and lawyers' ethics as the separate course at the law faculties </w:t>
            </w:r>
            <w:proofErr w:type="gramStart"/>
            <w:r w:rsidRPr="006F15B1">
              <w:rPr>
                <w:rFonts w:cstheme="minorHAnsi"/>
                <w:sz w:val="20"/>
                <w:szCs w:val="20"/>
              </w:rPr>
              <w:t>are formulated</w:t>
            </w:r>
            <w:proofErr w:type="gramEnd"/>
            <w:r w:rsidRPr="006F15B1">
              <w:rPr>
                <w:rFonts w:cstheme="minorHAnsi"/>
                <w:sz w:val="20"/>
                <w:szCs w:val="20"/>
              </w:rPr>
              <w:t>.</w:t>
            </w:r>
          </w:p>
          <w:p w:rsidR="00CF757E" w:rsidRPr="006F15B1" w:rsidRDefault="00CF757E" w:rsidP="004754BF">
            <w:pPr>
              <w:rPr>
                <w:rFonts w:cstheme="minorHAnsi"/>
                <w:b/>
                <w:sz w:val="20"/>
                <w:szCs w:val="20"/>
              </w:rPr>
            </w:pPr>
          </w:p>
        </w:tc>
      </w:tr>
      <w:tr w:rsidR="00CF757E" w:rsidRPr="006F15B1" w:rsidTr="004754BF">
        <w:tc>
          <w:tcPr>
            <w:tcW w:w="2122" w:type="dxa"/>
            <w:shd w:val="clear" w:color="auto" w:fill="DEEAF6" w:themeFill="accent1" w:themeFillTint="33"/>
          </w:tcPr>
          <w:p w:rsidR="00CF757E" w:rsidRPr="006F15B1" w:rsidRDefault="00CF757E" w:rsidP="004754BF">
            <w:pPr>
              <w:rPr>
                <w:rFonts w:cstheme="minorHAnsi"/>
                <w:b/>
                <w:sz w:val="20"/>
                <w:szCs w:val="20"/>
              </w:rPr>
            </w:pPr>
            <w:r w:rsidRPr="006F15B1">
              <w:rPr>
                <w:rFonts w:cstheme="minorHAnsi"/>
                <w:sz w:val="20"/>
                <w:szCs w:val="20"/>
              </w:rPr>
              <w:t>Abstract Proposal</w:t>
            </w:r>
          </w:p>
        </w:tc>
        <w:tc>
          <w:tcPr>
            <w:tcW w:w="6894" w:type="dxa"/>
          </w:tcPr>
          <w:p w:rsidR="00CF757E" w:rsidRPr="006F15B1" w:rsidRDefault="00CF757E" w:rsidP="004754BF">
            <w:pPr>
              <w:rPr>
                <w:rFonts w:cstheme="minorHAnsi"/>
                <w:sz w:val="20"/>
                <w:szCs w:val="20"/>
              </w:rPr>
            </w:pPr>
            <w:r w:rsidRPr="006F15B1">
              <w:rPr>
                <w:rFonts w:cstheme="minorHAnsi"/>
                <w:sz w:val="20"/>
                <w:szCs w:val="20"/>
              </w:rPr>
              <w:t xml:space="preserve">The paper has two main aims. The first one, descriptive, is to identify the sole presence of communication of professional ethics standards in clinical legal education in Slovakia and the methods of this modality of the teaching of lawyers’ ethics. Secondly, the aim of the paper is to identify and address the challenges of lawyers’ ethics education in Slovakia in the context of clinical legal education, a separate course on legal ethics and their connection. In order to reach this aim, the paper focuses also </w:t>
            </w:r>
            <w:proofErr w:type="gramStart"/>
            <w:r w:rsidRPr="006F15B1">
              <w:rPr>
                <w:rFonts w:cstheme="minorHAnsi"/>
                <w:sz w:val="20"/>
                <w:szCs w:val="20"/>
              </w:rPr>
              <w:t>on the general challenges for legal ethics in post-transitional society with the ‘heritage of wicked lawyer’ that strives to address its past through e.g. Abolition of unjust amnesties or through Codes of conduct for judges and public prosecutors</w:t>
            </w:r>
            <w:proofErr w:type="gramEnd"/>
            <w:r w:rsidRPr="006F15B1">
              <w:rPr>
                <w:rFonts w:cstheme="minorHAnsi"/>
                <w:sz w:val="20"/>
                <w:szCs w:val="20"/>
              </w:rPr>
              <w:t xml:space="preserve">. The paper hence also deals with the atmosphere that either boosts or discourages the application of standards of professional ethics. Based on the provided analysis the prospects of lawyers' ethics in clinical education and lawyers' ethics as the separate course at the law faculties </w:t>
            </w:r>
            <w:proofErr w:type="gramStart"/>
            <w:r w:rsidRPr="006F15B1">
              <w:rPr>
                <w:rFonts w:cstheme="minorHAnsi"/>
                <w:sz w:val="20"/>
                <w:szCs w:val="20"/>
              </w:rPr>
              <w:t>are formulated</w:t>
            </w:r>
            <w:proofErr w:type="gramEnd"/>
            <w:r w:rsidRPr="006F15B1">
              <w:rPr>
                <w:rFonts w:cstheme="minorHAnsi"/>
                <w:sz w:val="20"/>
                <w:szCs w:val="20"/>
              </w:rPr>
              <w:t>.</w:t>
            </w:r>
            <w:r w:rsidRPr="006F15B1">
              <w:rPr>
                <w:rFonts w:cstheme="minorHAnsi"/>
                <w:sz w:val="20"/>
                <w:szCs w:val="20"/>
              </w:rPr>
              <w:br/>
            </w:r>
            <w:r w:rsidRPr="006F15B1">
              <w:rPr>
                <w:rFonts w:cstheme="minorHAnsi"/>
                <w:sz w:val="20"/>
                <w:szCs w:val="20"/>
              </w:rPr>
              <w:br/>
              <w:t xml:space="preserve">The presenters are both teachers of Legal Ethics course (Law Faculty in Bratislava and in </w:t>
            </w:r>
            <w:proofErr w:type="spellStart"/>
            <w:r w:rsidRPr="006F15B1">
              <w:rPr>
                <w:rFonts w:cstheme="minorHAnsi"/>
                <w:sz w:val="20"/>
                <w:szCs w:val="20"/>
              </w:rPr>
              <w:t>Trnava</w:t>
            </w:r>
            <w:proofErr w:type="spellEnd"/>
            <w:r w:rsidRPr="006F15B1">
              <w:rPr>
                <w:rFonts w:cstheme="minorHAnsi"/>
                <w:sz w:val="20"/>
                <w:szCs w:val="20"/>
              </w:rPr>
              <w:t>).</w:t>
            </w:r>
          </w:p>
          <w:p w:rsidR="00CF757E" w:rsidRPr="006F15B1" w:rsidRDefault="00CF757E" w:rsidP="004754BF">
            <w:pPr>
              <w:rPr>
                <w:rFonts w:cstheme="minorHAnsi"/>
                <w:b/>
                <w:sz w:val="20"/>
                <w:szCs w:val="20"/>
              </w:rPr>
            </w:pPr>
          </w:p>
        </w:tc>
      </w:tr>
    </w:tbl>
    <w:p w:rsidR="003438CB" w:rsidRPr="006F15B1" w:rsidRDefault="003438CB" w:rsidP="003438CB">
      <w:pPr>
        <w:rPr>
          <w:rFonts w:cstheme="minorHAnsi"/>
          <w:b/>
          <w:sz w:val="20"/>
          <w:szCs w:val="20"/>
        </w:rPr>
      </w:pPr>
    </w:p>
    <w:p w:rsidR="00553798" w:rsidRDefault="00553798"/>
    <w:sectPr w:rsidR="0055379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5C8" w:rsidRDefault="00B515C8" w:rsidP="00B515C8">
      <w:pPr>
        <w:spacing w:after="0" w:line="240" w:lineRule="auto"/>
      </w:pPr>
      <w:r>
        <w:separator/>
      </w:r>
    </w:p>
  </w:endnote>
  <w:endnote w:type="continuationSeparator" w:id="0">
    <w:p w:rsidR="00B515C8" w:rsidRDefault="00B515C8" w:rsidP="00B51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5C8" w:rsidRDefault="00B515C8" w:rsidP="00B515C8">
      <w:pPr>
        <w:spacing w:after="0" w:line="240" w:lineRule="auto"/>
      </w:pPr>
      <w:r>
        <w:separator/>
      </w:r>
    </w:p>
  </w:footnote>
  <w:footnote w:type="continuationSeparator" w:id="0">
    <w:p w:rsidR="00B515C8" w:rsidRDefault="00B515C8" w:rsidP="00B51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5C8" w:rsidRDefault="00B515C8" w:rsidP="00B515C8">
    <w:pPr>
      <w:pStyle w:val="Header"/>
    </w:pPr>
    <w:r>
      <w:rPr>
        <w:noProof/>
        <w:lang w:eastAsia="en-GB"/>
      </w:rPr>
      <w:drawing>
        <wp:inline distT="0" distB="0" distL="0" distR="0">
          <wp:extent cx="6486525" cy="885825"/>
          <wp:effectExtent l="0" t="0" r="9525" b="9525"/>
          <wp:docPr id="1" name="Picture 1" descr="IJCLE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JCLE 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6525" cy="885825"/>
                  </a:xfrm>
                  <a:prstGeom prst="rect">
                    <a:avLst/>
                  </a:prstGeom>
                  <a:noFill/>
                  <a:ln>
                    <a:noFill/>
                  </a:ln>
                </pic:spPr>
              </pic:pic>
            </a:graphicData>
          </a:graphic>
        </wp:inline>
      </w:drawing>
    </w:r>
  </w:p>
  <w:p w:rsidR="00B515C8" w:rsidRPr="00B515C8" w:rsidRDefault="00B515C8" w:rsidP="00B51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B7CFC"/>
    <w:multiLevelType w:val="hybridMultilevel"/>
    <w:tmpl w:val="59B25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5C8"/>
    <w:rsid w:val="000171B9"/>
    <w:rsid w:val="000F2118"/>
    <w:rsid w:val="00176B53"/>
    <w:rsid w:val="0019498E"/>
    <w:rsid w:val="00221AC6"/>
    <w:rsid w:val="002403C2"/>
    <w:rsid w:val="0025084B"/>
    <w:rsid w:val="00263F7D"/>
    <w:rsid w:val="00270D3F"/>
    <w:rsid w:val="003438CB"/>
    <w:rsid w:val="003A1165"/>
    <w:rsid w:val="00405E58"/>
    <w:rsid w:val="00482942"/>
    <w:rsid w:val="004A1988"/>
    <w:rsid w:val="004D5F1D"/>
    <w:rsid w:val="00553798"/>
    <w:rsid w:val="00574576"/>
    <w:rsid w:val="0058352A"/>
    <w:rsid w:val="005F3C49"/>
    <w:rsid w:val="00660CB9"/>
    <w:rsid w:val="00684BE4"/>
    <w:rsid w:val="007A3C8F"/>
    <w:rsid w:val="00801C79"/>
    <w:rsid w:val="00891466"/>
    <w:rsid w:val="0089529B"/>
    <w:rsid w:val="009259B9"/>
    <w:rsid w:val="009F359D"/>
    <w:rsid w:val="00A42D9F"/>
    <w:rsid w:val="00A55843"/>
    <w:rsid w:val="00A62597"/>
    <w:rsid w:val="00A67C8E"/>
    <w:rsid w:val="00B13FC1"/>
    <w:rsid w:val="00B515C8"/>
    <w:rsid w:val="00C222C5"/>
    <w:rsid w:val="00C71C00"/>
    <w:rsid w:val="00CF757E"/>
    <w:rsid w:val="00D06F2C"/>
    <w:rsid w:val="00DF1204"/>
    <w:rsid w:val="00E56E8F"/>
    <w:rsid w:val="00E7663F"/>
    <w:rsid w:val="00F42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C385A"/>
  <w15:chartTrackingRefBased/>
  <w15:docId w15:val="{19E1877B-021F-4465-B9E8-E4EF994ED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5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5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5C8"/>
  </w:style>
  <w:style w:type="paragraph" w:styleId="Footer">
    <w:name w:val="footer"/>
    <w:basedOn w:val="Normal"/>
    <w:link w:val="FooterChar"/>
    <w:uiPriority w:val="99"/>
    <w:unhideWhenUsed/>
    <w:rsid w:val="00B515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5C8"/>
  </w:style>
  <w:style w:type="table" w:styleId="TableGrid">
    <w:name w:val="Table Grid"/>
    <w:basedOn w:val="TableNormal"/>
    <w:uiPriority w:val="39"/>
    <w:rsid w:val="00B51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1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2024</Characters>
  <Application>Microsoft Office Word</Application>
  <DocSecurity>0</DocSecurity>
  <Lines>16</Lines>
  <Paragraphs>4</Paragraphs>
  <ScaleCrop>false</ScaleCrop>
  <Company>Northumbria University at Newcastle</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Nicholson</dc:creator>
  <cp:keywords/>
  <dc:description/>
  <cp:lastModifiedBy>Barry Nicholson</cp:lastModifiedBy>
  <cp:revision>2</cp:revision>
  <dcterms:created xsi:type="dcterms:W3CDTF">2019-06-20T11:44:00Z</dcterms:created>
  <dcterms:modified xsi:type="dcterms:W3CDTF">2019-06-20T11:44:00Z</dcterms:modified>
</cp:coreProperties>
</file>