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C8" w:rsidRPr="006F15B1" w:rsidRDefault="00B515C8" w:rsidP="00B515C8">
      <w:pPr>
        <w:jc w:val="center"/>
        <w:rPr>
          <w:rFonts w:cstheme="minorHAnsi"/>
          <w:b/>
          <w:sz w:val="20"/>
          <w:szCs w:val="20"/>
        </w:rPr>
      </w:pPr>
      <w:r w:rsidRPr="006F15B1">
        <w:rPr>
          <w:rFonts w:cstheme="minorHAnsi"/>
          <w:b/>
          <w:sz w:val="20"/>
          <w:szCs w:val="20"/>
        </w:rPr>
        <w:t>Comenius University / International Journal of Clinical Legal Education Conference</w:t>
      </w:r>
    </w:p>
    <w:p w:rsidR="00B515C8" w:rsidRDefault="00B515C8" w:rsidP="00B515C8">
      <w:pPr>
        <w:jc w:val="center"/>
        <w:rPr>
          <w:rFonts w:cstheme="minorHAnsi"/>
          <w:b/>
          <w:sz w:val="20"/>
          <w:szCs w:val="20"/>
        </w:rPr>
      </w:pPr>
      <w:r w:rsidRPr="006F15B1">
        <w:rPr>
          <w:rFonts w:cstheme="minorHAnsi"/>
          <w:b/>
          <w:sz w:val="20"/>
          <w:szCs w:val="20"/>
        </w:rPr>
        <w:t>ENCLE - IJCLE 2019 Improving the Future: Using Clinical Legal Education to Educate Lawyers for a Just Society</w:t>
      </w:r>
    </w:p>
    <w:tbl>
      <w:tblPr>
        <w:tblStyle w:val="TableGrid"/>
        <w:tblW w:w="0" w:type="auto"/>
        <w:tblLook w:val="04A0" w:firstRow="1" w:lastRow="0" w:firstColumn="1" w:lastColumn="0" w:noHBand="0" w:noVBand="1"/>
      </w:tblPr>
      <w:tblGrid>
        <w:gridCol w:w="2122"/>
        <w:gridCol w:w="6894"/>
      </w:tblGrid>
      <w:tr w:rsidR="00A42D9F" w:rsidRPr="006F15B1" w:rsidTr="004754BF">
        <w:tc>
          <w:tcPr>
            <w:tcW w:w="2122" w:type="dxa"/>
            <w:shd w:val="clear" w:color="auto" w:fill="DEEAF6" w:themeFill="accent1" w:themeFillTint="33"/>
          </w:tcPr>
          <w:p w:rsidR="00A42D9F" w:rsidRPr="006F15B1" w:rsidRDefault="00A42D9F" w:rsidP="004754BF">
            <w:pPr>
              <w:rPr>
                <w:rFonts w:cstheme="minorHAnsi"/>
                <w:sz w:val="20"/>
                <w:szCs w:val="20"/>
              </w:rPr>
            </w:pPr>
            <w:r w:rsidRPr="006F15B1">
              <w:rPr>
                <w:rFonts w:cstheme="minorHAnsi"/>
                <w:sz w:val="20"/>
                <w:szCs w:val="20"/>
              </w:rPr>
              <w:t xml:space="preserve">Title </w:t>
            </w:r>
          </w:p>
        </w:tc>
        <w:tc>
          <w:tcPr>
            <w:tcW w:w="6894" w:type="dxa"/>
          </w:tcPr>
          <w:p w:rsidR="00A42D9F" w:rsidRPr="006F15B1" w:rsidRDefault="00A42D9F" w:rsidP="004754BF">
            <w:pPr>
              <w:rPr>
                <w:rFonts w:cstheme="minorHAnsi"/>
                <w:sz w:val="20"/>
                <w:szCs w:val="20"/>
              </w:rPr>
            </w:pPr>
            <w:r w:rsidRPr="006F15B1">
              <w:rPr>
                <w:rFonts w:cstheme="minorHAnsi"/>
                <w:sz w:val="20"/>
                <w:szCs w:val="20"/>
              </w:rPr>
              <w:t>Dr</w:t>
            </w:r>
          </w:p>
          <w:p w:rsidR="00A42D9F" w:rsidRPr="006F15B1" w:rsidRDefault="00A42D9F" w:rsidP="004754BF">
            <w:pPr>
              <w:rPr>
                <w:rFonts w:cstheme="minorHAnsi"/>
                <w:b/>
                <w:sz w:val="20"/>
                <w:szCs w:val="20"/>
              </w:rPr>
            </w:pPr>
          </w:p>
        </w:tc>
      </w:tr>
      <w:tr w:rsidR="00A42D9F" w:rsidRPr="006F15B1" w:rsidTr="004754BF">
        <w:tc>
          <w:tcPr>
            <w:tcW w:w="2122" w:type="dxa"/>
            <w:shd w:val="clear" w:color="auto" w:fill="DEEAF6" w:themeFill="accent1" w:themeFillTint="33"/>
          </w:tcPr>
          <w:p w:rsidR="00A42D9F" w:rsidRPr="006F15B1" w:rsidRDefault="00A42D9F" w:rsidP="004754BF">
            <w:pPr>
              <w:rPr>
                <w:rFonts w:cstheme="minorHAnsi"/>
                <w:b/>
                <w:sz w:val="20"/>
                <w:szCs w:val="20"/>
              </w:rPr>
            </w:pPr>
            <w:r w:rsidRPr="006F15B1">
              <w:rPr>
                <w:rFonts w:cstheme="minorHAnsi"/>
                <w:sz w:val="20"/>
                <w:szCs w:val="20"/>
              </w:rPr>
              <w:t>Lead Presenter First Name</w:t>
            </w:r>
          </w:p>
        </w:tc>
        <w:tc>
          <w:tcPr>
            <w:tcW w:w="6894" w:type="dxa"/>
          </w:tcPr>
          <w:p w:rsidR="00A42D9F" w:rsidRPr="006F15B1" w:rsidRDefault="00A42D9F" w:rsidP="004754BF">
            <w:pPr>
              <w:rPr>
                <w:rFonts w:cstheme="minorHAnsi"/>
                <w:sz w:val="20"/>
                <w:szCs w:val="20"/>
              </w:rPr>
            </w:pPr>
            <w:proofErr w:type="spellStart"/>
            <w:r w:rsidRPr="006F15B1">
              <w:rPr>
                <w:rFonts w:cstheme="minorHAnsi"/>
                <w:sz w:val="20"/>
                <w:szCs w:val="20"/>
              </w:rPr>
              <w:t>Nadire</w:t>
            </w:r>
            <w:proofErr w:type="spellEnd"/>
          </w:p>
          <w:p w:rsidR="00A42D9F" w:rsidRPr="006F15B1" w:rsidRDefault="00A42D9F" w:rsidP="004754BF">
            <w:pPr>
              <w:rPr>
                <w:rFonts w:cstheme="minorHAnsi"/>
                <w:b/>
                <w:sz w:val="20"/>
                <w:szCs w:val="20"/>
              </w:rPr>
            </w:pPr>
          </w:p>
        </w:tc>
      </w:tr>
      <w:tr w:rsidR="00A42D9F" w:rsidRPr="006F15B1" w:rsidTr="004754BF">
        <w:tc>
          <w:tcPr>
            <w:tcW w:w="2122" w:type="dxa"/>
            <w:shd w:val="clear" w:color="auto" w:fill="DEEAF6" w:themeFill="accent1" w:themeFillTint="33"/>
          </w:tcPr>
          <w:p w:rsidR="00A42D9F" w:rsidRPr="006F15B1" w:rsidRDefault="00A42D9F" w:rsidP="004754BF">
            <w:pPr>
              <w:rPr>
                <w:rFonts w:cstheme="minorHAnsi"/>
                <w:b/>
                <w:sz w:val="20"/>
                <w:szCs w:val="20"/>
              </w:rPr>
            </w:pPr>
            <w:r w:rsidRPr="006F15B1">
              <w:rPr>
                <w:rFonts w:cstheme="minorHAnsi"/>
                <w:sz w:val="20"/>
                <w:szCs w:val="20"/>
              </w:rPr>
              <w:t>Lead Presenter Last Name</w:t>
            </w:r>
          </w:p>
        </w:tc>
        <w:tc>
          <w:tcPr>
            <w:tcW w:w="6894" w:type="dxa"/>
          </w:tcPr>
          <w:p w:rsidR="00A42D9F" w:rsidRPr="006F15B1" w:rsidRDefault="00A42D9F" w:rsidP="004754BF">
            <w:pPr>
              <w:rPr>
                <w:rFonts w:cstheme="minorHAnsi"/>
                <w:sz w:val="20"/>
                <w:szCs w:val="20"/>
              </w:rPr>
            </w:pPr>
            <w:bookmarkStart w:id="0" w:name="_GoBack"/>
            <w:proofErr w:type="spellStart"/>
            <w:r w:rsidRPr="006F15B1">
              <w:rPr>
                <w:rFonts w:cstheme="minorHAnsi"/>
                <w:sz w:val="20"/>
                <w:szCs w:val="20"/>
              </w:rPr>
              <w:t>Ozdemir</w:t>
            </w:r>
            <w:proofErr w:type="spellEnd"/>
          </w:p>
          <w:bookmarkEnd w:id="0"/>
          <w:p w:rsidR="00A42D9F" w:rsidRPr="006F15B1" w:rsidRDefault="00A42D9F" w:rsidP="004754BF">
            <w:pPr>
              <w:rPr>
                <w:rFonts w:cstheme="minorHAnsi"/>
                <w:b/>
                <w:sz w:val="20"/>
                <w:szCs w:val="20"/>
              </w:rPr>
            </w:pPr>
          </w:p>
        </w:tc>
      </w:tr>
      <w:tr w:rsidR="00A42D9F" w:rsidRPr="006F15B1" w:rsidTr="004754BF">
        <w:tc>
          <w:tcPr>
            <w:tcW w:w="2122" w:type="dxa"/>
            <w:shd w:val="clear" w:color="auto" w:fill="DEEAF6" w:themeFill="accent1" w:themeFillTint="33"/>
          </w:tcPr>
          <w:p w:rsidR="00A42D9F" w:rsidRPr="006F15B1" w:rsidRDefault="00A42D9F" w:rsidP="004754BF">
            <w:pPr>
              <w:rPr>
                <w:rFonts w:cstheme="minorHAnsi"/>
                <w:b/>
                <w:sz w:val="20"/>
                <w:szCs w:val="20"/>
              </w:rPr>
            </w:pPr>
            <w:r w:rsidRPr="006F15B1">
              <w:rPr>
                <w:rFonts w:cstheme="minorHAnsi"/>
                <w:sz w:val="20"/>
                <w:szCs w:val="20"/>
              </w:rPr>
              <w:t>Organisation of Lead Presenter</w:t>
            </w:r>
          </w:p>
        </w:tc>
        <w:tc>
          <w:tcPr>
            <w:tcW w:w="6894" w:type="dxa"/>
          </w:tcPr>
          <w:p w:rsidR="00A42D9F" w:rsidRPr="006F15B1" w:rsidRDefault="00A42D9F" w:rsidP="004754BF">
            <w:pPr>
              <w:rPr>
                <w:rFonts w:cstheme="minorHAnsi"/>
                <w:sz w:val="20"/>
                <w:szCs w:val="20"/>
              </w:rPr>
            </w:pPr>
            <w:r w:rsidRPr="006F15B1">
              <w:rPr>
                <w:rFonts w:cstheme="minorHAnsi"/>
                <w:sz w:val="20"/>
                <w:szCs w:val="20"/>
              </w:rPr>
              <w:t>Ankara University Faculty of Law</w:t>
            </w:r>
          </w:p>
          <w:p w:rsidR="00A42D9F" w:rsidRPr="006F15B1" w:rsidRDefault="00A42D9F" w:rsidP="004754BF">
            <w:pPr>
              <w:rPr>
                <w:rFonts w:cstheme="minorHAnsi"/>
                <w:b/>
                <w:sz w:val="20"/>
                <w:szCs w:val="20"/>
              </w:rPr>
            </w:pPr>
          </w:p>
        </w:tc>
      </w:tr>
      <w:tr w:rsidR="00A42D9F" w:rsidRPr="006F15B1" w:rsidTr="004754BF">
        <w:tc>
          <w:tcPr>
            <w:tcW w:w="2122" w:type="dxa"/>
            <w:shd w:val="clear" w:color="auto" w:fill="DEEAF6" w:themeFill="accent1" w:themeFillTint="33"/>
          </w:tcPr>
          <w:p w:rsidR="00A42D9F" w:rsidRPr="006F15B1" w:rsidRDefault="00A42D9F" w:rsidP="004754BF">
            <w:pPr>
              <w:rPr>
                <w:rFonts w:cstheme="minorHAnsi"/>
                <w:sz w:val="20"/>
                <w:szCs w:val="20"/>
              </w:rPr>
            </w:pPr>
            <w:r w:rsidRPr="006F15B1">
              <w:rPr>
                <w:rFonts w:cstheme="minorHAnsi"/>
                <w:sz w:val="20"/>
                <w:szCs w:val="20"/>
              </w:rPr>
              <w:t>Name/s and details of other presenters</w:t>
            </w:r>
          </w:p>
        </w:tc>
        <w:tc>
          <w:tcPr>
            <w:tcW w:w="6894" w:type="dxa"/>
          </w:tcPr>
          <w:p w:rsidR="00A42D9F" w:rsidRPr="006F15B1" w:rsidRDefault="00A42D9F" w:rsidP="004754BF">
            <w:pPr>
              <w:rPr>
                <w:rFonts w:cstheme="minorHAnsi"/>
                <w:sz w:val="20"/>
                <w:szCs w:val="20"/>
              </w:rPr>
            </w:pPr>
            <w:proofErr w:type="spellStart"/>
            <w:r w:rsidRPr="006F15B1">
              <w:rPr>
                <w:rFonts w:cstheme="minorHAnsi"/>
                <w:sz w:val="20"/>
                <w:szCs w:val="20"/>
              </w:rPr>
              <w:t>Prof.Dr</w:t>
            </w:r>
            <w:proofErr w:type="spellEnd"/>
            <w:r w:rsidRPr="006F15B1">
              <w:rPr>
                <w:rFonts w:cstheme="minorHAnsi"/>
                <w:sz w:val="20"/>
                <w:szCs w:val="20"/>
              </w:rPr>
              <w:t xml:space="preserve">. </w:t>
            </w:r>
            <w:proofErr w:type="spellStart"/>
            <w:r w:rsidRPr="006F15B1">
              <w:rPr>
                <w:rFonts w:cstheme="minorHAnsi"/>
                <w:sz w:val="20"/>
                <w:szCs w:val="20"/>
              </w:rPr>
              <w:t>Gulriz</w:t>
            </w:r>
            <w:proofErr w:type="spellEnd"/>
            <w:r w:rsidRPr="006F15B1">
              <w:rPr>
                <w:rFonts w:cstheme="minorHAnsi"/>
                <w:sz w:val="20"/>
                <w:szCs w:val="20"/>
              </w:rPr>
              <w:t xml:space="preserve"> Uygur, Ankara University Faculty of La</w:t>
            </w:r>
            <w:r>
              <w:rPr>
                <w:rFonts w:cstheme="minorHAnsi"/>
                <w:sz w:val="20"/>
                <w:szCs w:val="20"/>
              </w:rPr>
              <w:t>w, Turkey</w:t>
            </w:r>
          </w:p>
          <w:p w:rsidR="00A42D9F" w:rsidRPr="006F15B1" w:rsidRDefault="00A42D9F" w:rsidP="004754BF">
            <w:pPr>
              <w:rPr>
                <w:rFonts w:cstheme="minorHAnsi"/>
                <w:b/>
                <w:sz w:val="20"/>
                <w:szCs w:val="20"/>
              </w:rPr>
            </w:pPr>
          </w:p>
        </w:tc>
      </w:tr>
      <w:tr w:rsidR="00A42D9F" w:rsidRPr="006F15B1" w:rsidTr="004754BF">
        <w:tc>
          <w:tcPr>
            <w:tcW w:w="2122" w:type="dxa"/>
            <w:shd w:val="clear" w:color="auto" w:fill="DEEAF6" w:themeFill="accent1" w:themeFillTint="33"/>
          </w:tcPr>
          <w:p w:rsidR="00A42D9F" w:rsidRPr="006F15B1" w:rsidRDefault="00A42D9F" w:rsidP="004754BF">
            <w:pPr>
              <w:rPr>
                <w:rFonts w:cstheme="minorHAnsi"/>
                <w:sz w:val="20"/>
                <w:szCs w:val="20"/>
              </w:rPr>
            </w:pPr>
            <w:r w:rsidRPr="006F15B1">
              <w:rPr>
                <w:rFonts w:cstheme="minorHAnsi"/>
                <w:sz w:val="20"/>
                <w:szCs w:val="20"/>
              </w:rPr>
              <w:t xml:space="preserve">Title of Proposal </w:t>
            </w:r>
          </w:p>
        </w:tc>
        <w:tc>
          <w:tcPr>
            <w:tcW w:w="6894" w:type="dxa"/>
          </w:tcPr>
          <w:p w:rsidR="00A42D9F" w:rsidRPr="006F15B1" w:rsidRDefault="00A42D9F" w:rsidP="004754BF">
            <w:pPr>
              <w:rPr>
                <w:rFonts w:cstheme="minorHAnsi"/>
                <w:sz w:val="20"/>
                <w:szCs w:val="20"/>
              </w:rPr>
            </w:pPr>
            <w:r w:rsidRPr="006F15B1">
              <w:rPr>
                <w:rFonts w:cstheme="minorHAnsi"/>
                <w:sz w:val="20"/>
                <w:szCs w:val="20"/>
              </w:rPr>
              <w:t>Involvement of the Court of Cassation in Clinical Legal Education: Lessons from Turkey</w:t>
            </w:r>
          </w:p>
          <w:p w:rsidR="00A42D9F" w:rsidRPr="006F15B1" w:rsidRDefault="00A42D9F" w:rsidP="004754BF">
            <w:pPr>
              <w:rPr>
                <w:rFonts w:cstheme="minorHAnsi"/>
                <w:b/>
                <w:sz w:val="20"/>
                <w:szCs w:val="20"/>
              </w:rPr>
            </w:pPr>
          </w:p>
        </w:tc>
      </w:tr>
      <w:tr w:rsidR="00A42D9F" w:rsidRPr="006F15B1" w:rsidTr="004754BF">
        <w:tc>
          <w:tcPr>
            <w:tcW w:w="2122" w:type="dxa"/>
            <w:shd w:val="clear" w:color="auto" w:fill="DEEAF6" w:themeFill="accent1" w:themeFillTint="33"/>
          </w:tcPr>
          <w:p w:rsidR="00A42D9F" w:rsidRPr="006F15B1" w:rsidRDefault="00A42D9F" w:rsidP="004754BF">
            <w:pPr>
              <w:rPr>
                <w:rFonts w:cstheme="minorHAnsi"/>
                <w:b/>
                <w:sz w:val="20"/>
                <w:szCs w:val="20"/>
              </w:rPr>
            </w:pPr>
            <w:r w:rsidRPr="006F15B1">
              <w:rPr>
                <w:rFonts w:cstheme="minorHAnsi"/>
                <w:sz w:val="20"/>
                <w:szCs w:val="20"/>
              </w:rPr>
              <w:t>Summary of Proposal</w:t>
            </w:r>
          </w:p>
        </w:tc>
        <w:tc>
          <w:tcPr>
            <w:tcW w:w="6894" w:type="dxa"/>
          </w:tcPr>
          <w:p w:rsidR="00A42D9F" w:rsidRPr="006F15B1" w:rsidRDefault="00A42D9F" w:rsidP="004754BF">
            <w:pPr>
              <w:rPr>
                <w:rFonts w:cstheme="minorHAnsi"/>
                <w:sz w:val="20"/>
                <w:szCs w:val="20"/>
              </w:rPr>
            </w:pPr>
            <w:r w:rsidRPr="006F15B1">
              <w:rPr>
                <w:rFonts w:cstheme="minorHAnsi"/>
                <w:sz w:val="20"/>
                <w:szCs w:val="20"/>
              </w:rPr>
              <w:t xml:space="preserve">In this </w:t>
            </w:r>
            <w:proofErr w:type="gramStart"/>
            <w:r w:rsidRPr="006F15B1">
              <w:rPr>
                <w:rFonts w:cstheme="minorHAnsi"/>
                <w:sz w:val="20"/>
                <w:szCs w:val="20"/>
              </w:rPr>
              <w:t>presentation</w:t>
            </w:r>
            <w:proofErr w:type="gramEnd"/>
            <w:r w:rsidRPr="006F15B1">
              <w:rPr>
                <w:rFonts w:cstheme="minorHAnsi"/>
                <w:sz w:val="20"/>
                <w:szCs w:val="20"/>
              </w:rPr>
              <w:t xml:space="preserve"> we will share our experience on legal ethics clinical education in which the Court of Cassation of Turkey was involved as a cooperation partner.</w:t>
            </w:r>
          </w:p>
          <w:p w:rsidR="00A42D9F" w:rsidRPr="006F15B1" w:rsidRDefault="00A42D9F" w:rsidP="004754BF">
            <w:pPr>
              <w:rPr>
                <w:rFonts w:cstheme="minorHAnsi"/>
                <w:b/>
                <w:sz w:val="20"/>
                <w:szCs w:val="20"/>
              </w:rPr>
            </w:pPr>
          </w:p>
        </w:tc>
      </w:tr>
      <w:tr w:rsidR="00A42D9F" w:rsidRPr="006F15B1" w:rsidTr="004754BF">
        <w:tc>
          <w:tcPr>
            <w:tcW w:w="2122" w:type="dxa"/>
            <w:shd w:val="clear" w:color="auto" w:fill="DEEAF6" w:themeFill="accent1" w:themeFillTint="33"/>
          </w:tcPr>
          <w:p w:rsidR="00A42D9F" w:rsidRPr="006F15B1" w:rsidRDefault="00A42D9F" w:rsidP="004754BF">
            <w:pPr>
              <w:rPr>
                <w:rFonts w:cstheme="minorHAnsi"/>
                <w:b/>
                <w:sz w:val="20"/>
                <w:szCs w:val="20"/>
              </w:rPr>
            </w:pPr>
            <w:r w:rsidRPr="006F15B1">
              <w:rPr>
                <w:rFonts w:cstheme="minorHAnsi"/>
                <w:sz w:val="20"/>
                <w:szCs w:val="20"/>
              </w:rPr>
              <w:t>Abstract Proposal</w:t>
            </w:r>
          </w:p>
        </w:tc>
        <w:tc>
          <w:tcPr>
            <w:tcW w:w="6894" w:type="dxa"/>
          </w:tcPr>
          <w:p w:rsidR="00A42D9F" w:rsidRPr="006F15B1" w:rsidRDefault="00A42D9F" w:rsidP="004754BF">
            <w:pPr>
              <w:rPr>
                <w:rFonts w:cstheme="minorHAnsi"/>
                <w:sz w:val="20"/>
                <w:szCs w:val="20"/>
              </w:rPr>
            </w:pPr>
            <w:r w:rsidRPr="006F15B1">
              <w:rPr>
                <w:rFonts w:cstheme="minorHAnsi"/>
                <w:sz w:val="20"/>
                <w:szCs w:val="20"/>
              </w:rPr>
              <w:t xml:space="preserve">In this </w:t>
            </w:r>
            <w:proofErr w:type="gramStart"/>
            <w:r w:rsidRPr="006F15B1">
              <w:rPr>
                <w:rFonts w:cstheme="minorHAnsi"/>
                <w:sz w:val="20"/>
                <w:szCs w:val="20"/>
              </w:rPr>
              <w:t>presentation</w:t>
            </w:r>
            <w:proofErr w:type="gramEnd"/>
            <w:r w:rsidRPr="006F15B1">
              <w:rPr>
                <w:rFonts w:cstheme="minorHAnsi"/>
                <w:sz w:val="20"/>
                <w:szCs w:val="20"/>
              </w:rPr>
              <w:t xml:space="preserve"> we will share our experience on legal ethics clinical education in which the Court of Cassation of Turkey was involved as a cooperation partner. </w:t>
            </w:r>
            <w:r w:rsidRPr="006F15B1">
              <w:rPr>
                <w:rFonts w:cstheme="minorHAnsi"/>
                <w:sz w:val="20"/>
                <w:szCs w:val="20"/>
              </w:rPr>
              <w:br/>
              <w:t xml:space="preserve">In 2017, the Court of Cassation of Turkey has adopted the Judicial Code of Conduct applicable to judges, public prosecutors and staff of the Court. Due to the principle of transparency of this Code, the Court of Cassation of Turkey wanted to raise public awareness and share their knowledge on legal ethics with the law students, who will be the future legal actors. In order to </w:t>
            </w:r>
            <w:proofErr w:type="spellStart"/>
            <w:r w:rsidRPr="006F15B1">
              <w:rPr>
                <w:rFonts w:cstheme="minorHAnsi"/>
                <w:sz w:val="20"/>
                <w:szCs w:val="20"/>
              </w:rPr>
              <w:t>fulfill</w:t>
            </w:r>
            <w:proofErr w:type="spellEnd"/>
            <w:r w:rsidRPr="006F15B1">
              <w:rPr>
                <w:rFonts w:cstheme="minorHAnsi"/>
                <w:sz w:val="20"/>
                <w:szCs w:val="20"/>
              </w:rPr>
              <w:t xml:space="preserve"> this objective, we designed a specific legal clinic program focused on the training of this Code of Conduct.</w:t>
            </w:r>
            <w:r w:rsidRPr="006F15B1">
              <w:rPr>
                <w:rFonts w:cstheme="minorHAnsi"/>
                <w:sz w:val="20"/>
                <w:szCs w:val="20"/>
              </w:rPr>
              <w:br/>
              <w:t xml:space="preserve">Our method </w:t>
            </w:r>
            <w:proofErr w:type="gramStart"/>
            <w:r w:rsidRPr="006F15B1">
              <w:rPr>
                <w:rFonts w:cstheme="minorHAnsi"/>
                <w:sz w:val="20"/>
                <w:szCs w:val="20"/>
              </w:rPr>
              <w:t>was mainly based</w:t>
            </w:r>
            <w:proofErr w:type="gramEnd"/>
            <w:r w:rsidRPr="006F15B1">
              <w:rPr>
                <w:rFonts w:cstheme="minorHAnsi"/>
                <w:sz w:val="20"/>
                <w:szCs w:val="20"/>
              </w:rPr>
              <w:t xml:space="preserve"> on training of trainers. A group of 42 law students </w:t>
            </w:r>
            <w:proofErr w:type="gramStart"/>
            <w:r w:rsidRPr="006F15B1">
              <w:rPr>
                <w:rFonts w:cstheme="minorHAnsi"/>
                <w:sz w:val="20"/>
                <w:szCs w:val="20"/>
              </w:rPr>
              <w:t>have been specially trained</w:t>
            </w:r>
            <w:proofErr w:type="gramEnd"/>
            <w:r w:rsidRPr="006F15B1">
              <w:rPr>
                <w:rFonts w:cstheme="minorHAnsi"/>
                <w:sz w:val="20"/>
                <w:szCs w:val="20"/>
              </w:rPr>
              <w:t xml:space="preserve"> to teach for their peers. Those prospective trainer students have taken specific theory lectures on legal ethics and studied the Code. </w:t>
            </w:r>
            <w:proofErr w:type="gramStart"/>
            <w:r w:rsidRPr="006F15B1">
              <w:rPr>
                <w:rFonts w:cstheme="minorHAnsi"/>
                <w:sz w:val="20"/>
                <w:szCs w:val="20"/>
              </w:rPr>
              <w:t>The lectures were held by law professors and judges</w:t>
            </w:r>
            <w:proofErr w:type="gramEnd"/>
            <w:r w:rsidRPr="006F15B1">
              <w:rPr>
                <w:rFonts w:cstheme="minorHAnsi"/>
                <w:sz w:val="20"/>
                <w:szCs w:val="20"/>
              </w:rPr>
              <w:t xml:space="preserve"> from the Court. After 14 days training, we asked those students to prepare their own training materials to teach their peers. By this method, the trainer group of students have developed ethical awareness by themselves and shared their knowledge of legal ethics with the other law students. Hereby, we increased the ethical awareness of the law students as well as the recognition of the Code </w:t>
            </w:r>
            <w:r w:rsidRPr="006F15B1">
              <w:rPr>
                <w:rFonts w:cstheme="minorHAnsi"/>
                <w:sz w:val="20"/>
                <w:szCs w:val="20"/>
              </w:rPr>
              <w:br/>
              <w:t xml:space="preserve">Besides preparing their own </w:t>
            </w:r>
            <w:proofErr w:type="gramStart"/>
            <w:r w:rsidRPr="006F15B1">
              <w:rPr>
                <w:rFonts w:cstheme="minorHAnsi"/>
                <w:sz w:val="20"/>
                <w:szCs w:val="20"/>
              </w:rPr>
              <w:t>Code,</w:t>
            </w:r>
            <w:proofErr w:type="gramEnd"/>
            <w:r w:rsidRPr="006F15B1">
              <w:rPr>
                <w:rFonts w:cstheme="minorHAnsi"/>
                <w:sz w:val="20"/>
                <w:szCs w:val="20"/>
              </w:rPr>
              <w:t xml:space="preserve"> the role of the Court of Cassation of Turkey in this clinic was taking parts in the training. Judges, public prosecutors and the staff of the Court explained law students how each of the principles took shape in practice. In our presentation, we will share our experience about this clinical legal education method by emphasizing the interaction between the legal actors of the Court of Cassation of Turkey and the Ankara University Faculty of Law students.</w:t>
            </w:r>
          </w:p>
          <w:p w:rsidR="00A42D9F" w:rsidRPr="006F15B1" w:rsidRDefault="00A42D9F" w:rsidP="004754BF">
            <w:pPr>
              <w:rPr>
                <w:rFonts w:cstheme="minorHAnsi"/>
                <w:b/>
                <w:sz w:val="20"/>
                <w:szCs w:val="20"/>
              </w:rPr>
            </w:pPr>
          </w:p>
        </w:tc>
      </w:tr>
    </w:tbl>
    <w:p w:rsidR="00553798" w:rsidRDefault="00553798"/>
    <w:sectPr w:rsidR="0055379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C8" w:rsidRDefault="00B515C8" w:rsidP="00B515C8">
      <w:pPr>
        <w:spacing w:after="0" w:line="240" w:lineRule="auto"/>
      </w:pPr>
      <w:r>
        <w:separator/>
      </w:r>
    </w:p>
  </w:endnote>
  <w:endnote w:type="continuationSeparator" w:id="0">
    <w:p w:rsidR="00B515C8" w:rsidRDefault="00B515C8" w:rsidP="00B5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C8" w:rsidRDefault="00B515C8" w:rsidP="00B515C8">
      <w:pPr>
        <w:spacing w:after="0" w:line="240" w:lineRule="auto"/>
      </w:pPr>
      <w:r>
        <w:separator/>
      </w:r>
    </w:p>
  </w:footnote>
  <w:footnote w:type="continuationSeparator" w:id="0">
    <w:p w:rsidR="00B515C8" w:rsidRDefault="00B515C8" w:rsidP="00B5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C8" w:rsidRDefault="00B515C8" w:rsidP="00B515C8">
    <w:pPr>
      <w:pStyle w:val="Header"/>
    </w:pPr>
    <w:r>
      <w:rPr>
        <w:noProof/>
        <w:lang w:eastAsia="en-GB"/>
      </w:rPr>
      <w:drawing>
        <wp:inline distT="0" distB="0" distL="0" distR="0">
          <wp:extent cx="6486525" cy="885825"/>
          <wp:effectExtent l="0" t="0" r="9525" b="9525"/>
          <wp:docPr id="1" name="Picture 1" descr="IJCL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CLE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885825"/>
                  </a:xfrm>
                  <a:prstGeom prst="rect">
                    <a:avLst/>
                  </a:prstGeom>
                  <a:noFill/>
                  <a:ln>
                    <a:noFill/>
                  </a:ln>
                </pic:spPr>
              </pic:pic>
            </a:graphicData>
          </a:graphic>
        </wp:inline>
      </w:drawing>
    </w:r>
  </w:p>
  <w:p w:rsidR="00B515C8" w:rsidRPr="00B515C8" w:rsidRDefault="00B515C8" w:rsidP="00B51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8"/>
    <w:rsid w:val="000171B9"/>
    <w:rsid w:val="003A1165"/>
    <w:rsid w:val="00553798"/>
    <w:rsid w:val="007A3C8F"/>
    <w:rsid w:val="00A42D9F"/>
    <w:rsid w:val="00B5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385A"/>
  <w15:chartTrackingRefBased/>
  <w15:docId w15:val="{19E1877B-021F-4465-B9E8-E4EF994E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5C8"/>
  </w:style>
  <w:style w:type="paragraph" w:styleId="Footer">
    <w:name w:val="footer"/>
    <w:basedOn w:val="Normal"/>
    <w:link w:val="FooterChar"/>
    <w:uiPriority w:val="99"/>
    <w:unhideWhenUsed/>
    <w:rsid w:val="00B5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5C8"/>
  </w:style>
  <w:style w:type="table" w:styleId="TableGrid">
    <w:name w:val="Table Grid"/>
    <w:basedOn w:val="TableNormal"/>
    <w:uiPriority w:val="39"/>
    <w:rsid w:val="00B5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Company>Northumbria University at Newcastle</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Nicholson</dc:creator>
  <cp:keywords/>
  <dc:description/>
  <cp:lastModifiedBy>Barry Nicholson</cp:lastModifiedBy>
  <cp:revision>2</cp:revision>
  <dcterms:created xsi:type="dcterms:W3CDTF">2019-06-20T11:27:00Z</dcterms:created>
  <dcterms:modified xsi:type="dcterms:W3CDTF">2019-06-20T11:27:00Z</dcterms:modified>
</cp:coreProperties>
</file>