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AA4D41" w:rsidRPr="006F15B1" w:rsidTr="004754BF">
        <w:tc>
          <w:tcPr>
            <w:tcW w:w="2122" w:type="dxa"/>
            <w:shd w:val="clear" w:color="auto" w:fill="DEEAF6" w:themeFill="accent1" w:themeFillTint="33"/>
          </w:tcPr>
          <w:p w:rsidR="00AA4D41" w:rsidRPr="006F15B1" w:rsidRDefault="00AA4D41" w:rsidP="004754BF">
            <w:pPr>
              <w:rPr>
                <w:rFonts w:cstheme="minorHAnsi"/>
                <w:sz w:val="20"/>
                <w:szCs w:val="20"/>
              </w:rPr>
            </w:pPr>
            <w:r w:rsidRPr="006F15B1">
              <w:rPr>
                <w:rFonts w:cstheme="minorHAnsi"/>
                <w:sz w:val="20"/>
                <w:szCs w:val="20"/>
              </w:rPr>
              <w:t xml:space="preserve">Title </w:t>
            </w:r>
          </w:p>
        </w:tc>
        <w:tc>
          <w:tcPr>
            <w:tcW w:w="6894" w:type="dxa"/>
          </w:tcPr>
          <w:p w:rsidR="00AA4D41" w:rsidRPr="006F15B1" w:rsidRDefault="00AA4D41" w:rsidP="004754BF">
            <w:pPr>
              <w:rPr>
                <w:rFonts w:cstheme="minorHAnsi"/>
                <w:sz w:val="20"/>
                <w:szCs w:val="20"/>
              </w:rPr>
            </w:pPr>
            <w:r w:rsidRPr="006F15B1">
              <w:rPr>
                <w:rFonts w:cstheme="minorHAnsi"/>
                <w:sz w:val="20"/>
                <w:szCs w:val="20"/>
              </w:rPr>
              <w:t>Dr</w:t>
            </w:r>
          </w:p>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b/>
                <w:sz w:val="20"/>
                <w:szCs w:val="20"/>
              </w:rPr>
            </w:pPr>
            <w:r w:rsidRPr="006F15B1">
              <w:rPr>
                <w:rFonts w:cstheme="minorHAnsi"/>
                <w:sz w:val="20"/>
                <w:szCs w:val="20"/>
              </w:rPr>
              <w:t>Lead Presenter First Name</w:t>
            </w:r>
          </w:p>
        </w:tc>
        <w:tc>
          <w:tcPr>
            <w:tcW w:w="6894" w:type="dxa"/>
          </w:tcPr>
          <w:p w:rsidR="00AA4D41" w:rsidRPr="006F15B1" w:rsidRDefault="00AA4D41" w:rsidP="004754BF">
            <w:pPr>
              <w:rPr>
                <w:rFonts w:cstheme="minorHAnsi"/>
                <w:sz w:val="20"/>
                <w:szCs w:val="20"/>
              </w:rPr>
            </w:pPr>
            <w:r w:rsidRPr="006F15B1">
              <w:rPr>
                <w:rFonts w:cstheme="minorHAnsi"/>
                <w:sz w:val="20"/>
                <w:szCs w:val="20"/>
              </w:rPr>
              <w:t>James</w:t>
            </w:r>
          </w:p>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b/>
                <w:sz w:val="20"/>
                <w:szCs w:val="20"/>
              </w:rPr>
            </w:pPr>
            <w:r w:rsidRPr="006F15B1">
              <w:rPr>
                <w:rFonts w:cstheme="minorHAnsi"/>
                <w:sz w:val="20"/>
                <w:szCs w:val="20"/>
              </w:rPr>
              <w:t>Lead Presenter Last Name</w:t>
            </w:r>
          </w:p>
        </w:tc>
        <w:tc>
          <w:tcPr>
            <w:tcW w:w="6894" w:type="dxa"/>
          </w:tcPr>
          <w:p w:rsidR="00AA4D41" w:rsidRPr="006F15B1" w:rsidRDefault="00AA4D41" w:rsidP="004754BF">
            <w:pPr>
              <w:rPr>
                <w:rFonts w:cstheme="minorHAnsi"/>
                <w:sz w:val="20"/>
                <w:szCs w:val="20"/>
              </w:rPr>
            </w:pPr>
            <w:bookmarkStart w:id="0" w:name="_GoBack"/>
            <w:proofErr w:type="spellStart"/>
            <w:r w:rsidRPr="006F15B1">
              <w:rPr>
                <w:rFonts w:cstheme="minorHAnsi"/>
                <w:sz w:val="20"/>
                <w:szCs w:val="20"/>
              </w:rPr>
              <w:t>Sandbach</w:t>
            </w:r>
            <w:proofErr w:type="spellEnd"/>
          </w:p>
          <w:bookmarkEnd w:id="0"/>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b/>
                <w:sz w:val="20"/>
                <w:szCs w:val="20"/>
              </w:rPr>
            </w:pPr>
            <w:r w:rsidRPr="006F15B1">
              <w:rPr>
                <w:rFonts w:cstheme="minorHAnsi"/>
                <w:sz w:val="20"/>
                <w:szCs w:val="20"/>
              </w:rPr>
              <w:t>Organisation of Lead Presenter</w:t>
            </w:r>
          </w:p>
        </w:tc>
        <w:tc>
          <w:tcPr>
            <w:tcW w:w="6894" w:type="dxa"/>
          </w:tcPr>
          <w:p w:rsidR="00AA4D41" w:rsidRPr="006F15B1" w:rsidRDefault="00AA4D41" w:rsidP="004754BF">
            <w:pPr>
              <w:rPr>
                <w:rFonts w:cstheme="minorHAnsi"/>
                <w:sz w:val="20"/>
                <w:szCs w:val="20"/>
              </w:rPr>
            </w:pPr>
            <w:proofErr w:type="spellStart"/>
            <w:r w:rsidRPr="006F15B1">
              <w:rPr>
                <w:rFonts w:cstheme="minorHAnsi"/>
                <w:sz w:val="20"/>
                <w:szCs w:val="20"/>
              </w:rPr>
              <w:t>Lawworks</w:t>
            </w:r>
            <w:proofErr w:type="spellEnd"/>
            <w:r w:rsidRPr="006F15B1">
              <w:rPr>
                <w:rFonts w:cstheme="minorHAnsi"/>
                <w:sz w:val="20"/>
                <w:szCs w:val="20"/>
              </w:rPr>
              <w:t xml:space="preserve"> (the Solicitors pro bono group and clearing house for England and Wales)</w:t>
            </w:r>
          </w:p>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sz w:val="20"/>
                <w:szCs w:val="20"/>
              </w:rPr>
            </w:pPr>
            <w:r w:rsidRPr="006F15B1">
              <w:rPr>
                <w:rFonts w:cstheme="minorHAnsi"/>
                <w:sz w:val="20"/>
                <w:szCs w:val="20"/>
              </w:rPr>
              <w:t>Name/s and details of other presenters</w:t>
            </w:r>
          </w:p>
        </w:tc>
        <w:tc>
          <w:tcPr>
            <w:tcW w:w="6894" w:type="dxa"/>
          </w:tcPr>
          <w:p w:rsidR="00AA4D41" w:rsidRPr="006F15B1" w:rsidRDefault="00AA4D41" w:rsidP="004754BF">
            <w:pPr>
              <w:rPr>
                <w:rFonts w:cstheme="minorHAnsi"/>
                <w:sz w:val="20"/>
                <w:szCs w:val="20"/>
              </w:rPr>
            </w:pPr>
            <w:r w:rsidRPr="006F15B1">
              <w:rPr>
                <w:rFonts w:cstheme="minorHAnsi"/>
                <w:sz w:val="20"/>
                <w:szCs w:val="20"/>
              </w:rPr>
              <w:t xml:space="preserve">Clare Johnson, Head of Clinics Development, </w:t>
            </w:r>
            <w:proofErr w:type="spellStart"/>
            <w:r w:rsidRPr="006F15B1">
              <w:rPr>
                <w:rFonts w:cstheme="minorHAnsi"/>
                <w:sz w:val="20"/>
                <w:szCs w:val="20"/>
              </w:rPr>
              <w:t>lawworks</w:t>
            </w:r>
            <w:proofErr w:type="spellEnd"/>
            <w:r w:rsidRPr="006F15B1">
              <w:rPr>
                <w:rFonts w:cstheme="minorHAnsi"/>
                <w:sz w:val="20"/>
                <w:szCs w:val="20"/>
              </w:rPr>
              <w:t xml:space="preserve"> United Kingdom, </w:t>
            </w:r>
          </w:p>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sz w:val="20"/>
                <w:szCs w:val="20"/>
              </w:rPr>
            </w:pPr>
            <w:r w:rsidRPr="006F15B1">
              <w:rPr>
                <w:rFonts w:cstheme="minorHAnsi"/>
                <w:sz w:val="20"/>
                <w:szCs w:val="20"/>
              </w:rPr>
              <w:t xml:space="preserve">Title of Proposal </w:t>
            </w:r>
          </w:p>
        </w:tc>
        <w:tc>
          <w:tcPr>
            <w:tcW w:w="6894" w:type="dxa"/>
          </w:tcPr>
          <w:p w:rsidR="00AA4D41" w:rsidRPr="006F15B1" w:rsidRDefault="00AA4D41" w:rsidP="004754BF">
            <w:pPr>
              <w:rPr>
                <w:rFonts w:cstheme="minorHAnsi"/>
                <w:sz w:val="20"/>
                <w:szCs w:val="20"/>
              </w:rPr>
            </w:pPr>
            <w:r w:rsidRPr="006F15B1">
              <w:rPr>
                <w:rFonts w:cstheme="minorHAnsi"/>
                <w:sz w:val="20"/>
                <w:szCs w:val="20"/>
              </w:rPr>
              <w:t>Impacting Justice: The contribution of clinical legal education and law school clinics to pro bono and access to justice in England and Wales</w:t>
            </w:r>
          </w:p>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b/>
                <w:sz w:val="20"/>
                <w:szCs w:val="20"/>
              </w:rPr>
            </w:pPr>
            <w:r w:rsidRPr="006F15B1">
              <w:rPr>
                <w:rFonts w:cstheme="minorHAnsi"/>
                <w:sz w:val="20"/>
                <w:szCs w:val="20"/>
              </w:rPr>
              <w:t>Summary of Proposal</w:t>
            </w:r>
          </w:p>
        </w:tc>
        <w:tc>
          <w:tcPr>
            <w:tcW w:w="6894" w:type="dxa"/>
          </w:tcPr>
          <w:p w:rsidR="00AA4D41" w:rsidRPr="006F15B1" w:rsidRDefault="00AA4D41" w:rsidP="004754BF">
            <w:pPr>
              <w:rPr>
                <w:rFonts w:cstheme="minorHAnsi"/>
                <w:sz w:val="20"/>
                <w:szCs w:val="20"/>
              </w:rPr>
            </w:pPr>
            <w:r w:rsidRPr="006F15B1">
              <w:rPr>
                <w:rFonts w:cstheme="minorHAnsi"/>
                <w:sz w:val="20"/>
                <w:szCs w:val="20"/>
              </w:rPr>
              <w:t xml:space="preserve">The paper and presentation looking contribution of clinical legal education and law school clinics to pro bono and access to justice in England and Wales will be broken down by the following structure and headings:- </w:t>
            </w:r>
            <w:r w:rsidRPr="006F15B1">
              <w:rPr>
                <w:rFonts w:cstheme="minorHAnsi"/>
                <w:sz w:val="20"/>
                <w:szCs w:val="20"/>
              </w:rPr>
              <w:br/>
              <w:t>-         Context: Policy and development in access to justice</w:t>
            </w:r>
            <w:r w:rsidRPr="006F15B1">
              <w:rPr>
                <w:rFonts w:cstheme="minorHAnsi"/>
                <w:sz w:val="20"/>
                <w:szCs w:val="20"/>
              </w:rPr>
              <w:br/>
              <w:t>-         Growth and profile of clinics in England and Wales</w:t>
            </w:r>
            <w:r w:rsidRPr="006F15B1">
              <w:rPr>
                <w:rFonts w:cstheme="minorHAnsi"/>
                <w:sz w:val="20"/>
                <w:szCs w:val="20"/>
              </w:rPr>
              <w:br/>
              <w:t>-         Reform of legal education and training</w:t>
            </w:r>
            <w:r w:rsidRPr="006F15B1">
              <w:rPr>
                <w:rFonts w:cstheme="minorHAnsi"/>
                <w:sz w:val="20"/>
                <w:szCs w:val="20"/>
              </w:rPr>
              <w:br/>
              <w:t>-         Overcoming regulatory uncertainty</w:t>
            </w:r>
            <w:r w:rsidRPr="006F15B1">
              <w:rPr>
                <w:rFonts w:cstheme="minorHAnsi"/>
                <w:sz w:val="20"/>
                <w:szCs w:val="20"/>
              </w:rPr>
              <w:br/>
              <w:t>-         Measuring justice impact</w:t>
            </w:r>
            <w:r w:rsidRPr="006F15B1">
              <w:rPr>
                <w:rFonts w:cstheme="minorHAnsi"/>
                <w:sz w:val="20"/>
                <w:szCs w:val="20"/>
              </w:rPr>
              <w:br/>
              <w:t>-         Unmet needs and the limits of pro bono clinics</w:t>
            </w:r>
          </w:p>
          <w:p w:rsidR="00AA4D41" w:rsidRPr="006F15B1" w:rsidRDefault="00AA4D41" w:rsidP="004754BF">
            <w:pPr>
              <w:rPr>
                <w:rFonts w:cstheme="minorHAnsi"/>
                <w:b/>
                <w:sz w:val="20"/>
                <w:szCs w:val="20"/>
              </w:rPr>
            </w:pPr>
          </w:p>
        </w:tc>
      </w:tr>
      <w:tr w:rsidR="00AA4D41" w:rsidRPr="006F15B1" w:rsidTr="004754BF">
        <w:tc>
          <w:tcPr>
            <w:tcW w:w="2122" w:type="dxa"/>
            <w:shd w:val="clear" w:color="auto" w:fill="DEEAF6" w:themeFill="accent1" w:themeFillTint="33"/>
          </w:tcPr>
          <w:p w:rsidR="00AA4D41" w:rsidRPr="006F15B1" w:rsidRDefault="00AA4D41" w:rsidP="004754BF">
            <w:pPr>
              <w:rPr>
                <w:rFonts w:cstheme="minorHAnsi"/>
                <w:b/>
                <w:sz w:val="20"/>
                <w:szCs w:val="20"/>
              </w:rPr>
            </w:pPr>
            <w:r w:rsidRPr="006F15B1">
              <w:rPr>
                <w:rFonts w:cstheme="minorHAnsi"/>
                <w:sz w:val="20"/>
                <w:szCs w:val="20"/>
              </w:rPr>
              <w:t>Abstract Proposal</w:t>
            </w:r>
          </w:p>
        </w:tc>
        <w:tc>
          <w:tcPr>
            <w:tcW w:w="6894" w:type="dxa"/>
          </w:tcPr>
          <w:p w:rsidR="00AA4D41" w:rsidRPr="006F15B1" w:rsidRDefault="00AA4D41" w:rsidP="004754BF">
            <w:pPr>
              <w:rPr>
                <w:rFonts w:cstheme="minorHAnsi"/>
                <w:sz w:val="20"/>
                <w:szCs w:val="20"/>
              </w:rPr>
            </w:pPr>
            <w:r w:rsidRPr="006F15B1">
              <w:rPr>
                <w:rFonts w:cstheme="minorHAnsi"/>
                <w:sz w:val="20"/>
                <w:szCs w:val="20"/>
              </w:rPr>
              <w:t xml:space="preserve">A session to present a paper (relevant to several themes of this Conference) on with the above title, the objective is to share learning about clinic development from England and Wales. A power point of key data with infographics will accompany the paper. An abstract of the paper is </w:t>
            </w:r>
            <w:proofErr w:type="gramStart"/>
            <w:r w:rsidRPr="006F15B1">
              <w:rPr>
                <w:rFonts w:cstheme="minorHAnsi"/>
                <w:sz w:val="20"/>
                <w:szCs w:val="20"/>
              </w:rPr>
              <w:t>below:</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The access to justice landscape in England and Wales has seen a significant shift in recent years, as state retrenchment from the comprehensive </w:t>
            </w:r>
            <w:proofErr w:type="spellStart"/>
            <w:r w:rsidRPr="006F15B1">
              <w:rPr>
                <w:rFonts w:cstheme="minorHAnsi"/>
                <w:sz w:val="20"/>
                <w:szCs w:val="20"/>
              </w:rPr>
              <w:t>judicare</w:t>
            </w:r>
            <w:proofErr w:type="spellEnd"/>
            <w:r w:rsidRPr="006F15B1">
              <w:rPr>
                <w:rFonts w:cstheme="minorHAnsi"/>
                <w:sz w:val="20"/>
                <w:szCs w:val="20"/>
              </w:rPr>
              <w:t xml:space="preserve"> approach to legal aid, associated policy reforms, technology and other developments in the justice sector have displaced traditional models. Whilst much </w:t>
            </w:r>
            <w:proofErr w:type="gramStart"/>
            <w:r w:rsidRPr="006F15B1">
              <w:rPr>
                <w:rFonts w:cstheme="minorHAnsi"/>
                <w:sz w:val="20"/>
                <w:szCs w:val="20"/>
              </w:rPr>
              <w:t>has been written</w:t>
            </w:r>
            <w:proofErr w:type="gramEnd"/>
            <w:r w:rsidRPr="006F15B1">
              <w:rPr>
                <w:rFonts w:cstheme="minorHAnsi"/>
                <w:sz w:val="20"/>
                <w:szCs w:val="20"/>
              </w:rPr>
              <w:t xml:space="preserve"> about the impact of policy changes on free legal advice availability from private practice and non-profit organisations, and the impact on their client base, a less studied development has been the growth of law school clinics driven by a proactive clinical legal education agenda. This paper reviews the evidence and data around the scale and impact of this pro bono contribution of clinics in England and Wales and addresses questions about the relationship between clinical legal education and access to justice within this jurisdiction. It will draw on </w:t>
            </w:r>
            <w:proofErr w:type="spellStart"/>
            <w:r w:rsidRPr="006F15B1">
              <w:rPr>
                <w:rFonts w:cstheme="minorHAnsi"/>
                <w:sz w:val="20"/>
                <w:szCs w:val="20"/>
              </w:rPr>
              <w:t>lawworks</w:t>
            </w:r>
            <w:proofErr w:type="spellEnd"/>
            <w:r w:rsidRPr="006F15B1">
              <w:rPr>
                <w:rFonts w:cstheme="minorHAnsi"/>
                <w:sz w:val="20"/>
                <w:szCs w:val="20"/>
              </w:rPr>
              <w:t xml:space="preserve"> most recent Clinics report and other material.</w:t>
            </w:r>
            <w:r w:rsidRPr="006F15B1">
              <w:rPr>
                <w:rFonts w:cstheme="minorHAnsi"/>
                <w:sz w:val="20"/>
                <w:szCs w:val="20"/>
              </w:rPr>
              <w:br/>
              <w:t>Https://www.lawworks.org.uk/about-us/news/lawworks-clinics-network-report-year-march-2018</w:t>
            </w:r>
            <w:r w:rsidRPr="006F15B1">
              <w:rPr>
                <w:rFonts w:cstheme="minorHAnsi"/>
                <w:sz w:val="20"/>
                <w:szCs w:val="20"/>
              </w:rPr>
              <w:br/>
              <w:t>.</w:t>
            </w:r>
          </w:p>
          <w:p w:rsidR="00AA4D41" w:rsidRPr="006F15B1" w:rsidRDefault="00AA4D41"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32660"/>
    <w:rsid w:val="00A42D9F"/>
    <w:rsid w:val="00A55843"/>
    <w:rsid w:val="00A62597"/>
    <w:rsid w:val="00A6443E"/>
    <w:rsid w:val="00A67C8E"/>
    <w:rsid w:val="00AA4D41"/>
    <w:rsid w:val="00B13FC1"/>
    <w:rsid w:val="00B515C8"/>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Company>Northumbria University at Newcastle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2019-06-20T11:48:00Z</dcterms:created>
  <dcterms:modified xsi:type="dcterms:W3CDTF">2019-06-20T11:48:00Z</dcterms:modified>
</cp:coreProperties>
</file>