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3F0E" w14:textId="65EC2B5A" w:rsidR="00E75AD5" w:rsidRDefault="00E75AD5" w:rsidP="00F63BC6">
      <w:pPr>
        <w:pStyle w:val="Heading2"/>
        <w:shd w:val="clear" w:color="auto" w:fill="FFFFFF"/>
        <w:spacing w:before="450" w:after="150"/>
        <w:rPr>
          <w:rFonts w:ascii="Arial" w:hAnsi="Arial" w:cs="Arial"/>
          <w:b/>
          <w:bCs/>
          <w:color w:val="444444"/>
          <w:sz w:val="24"/>
          <w:szCs w:val="24"/>
        </w:rPr>
      </w:pPr>
      <w:r w:rsidRPr="00604686">
        <w:rPr>
          <w:rFonts w:ascii="Arial" w:hAnsi="Arial" w:cs="Arial"/>
          <w:b/>
          <w:bCs/>
          <w:color w:val="444444"/>
          <w:sz w:val="24"/>
          <w:szCs w:val="24"/>
        </w:rPr>
        <w:t xml:space="preserve">CMA guidance </w:t>
      </w:r>
    </w:p>
    <w:p w14:paraId="22CD5429" w14:textId="270B7591" w:rsidR="005D4029" w:rsidRPr="005D4029" w:rsidRDefault="00552FAC" w:rsidP="005D4029">
      <w:pPr>
        <w:rPr>
          <w:rFonts w:ascii="Arial" w:hAnsi="Arial" w:cs="Arial"/>
        </w:rPr>
      </w:pPr>
      <w:r>
        <w:rPr>
          <w:rFonts w:ascii="Arial" w:hAnsi="Arial" w:cs="Arial"/>
        </w:rPr>
        <w:t>August</w:t>
      </w:r>
      <w:r>
        <w:rPr>
          <w:rFonts w:ascii="Arial" w:hAnsi="Arial" w:cs="Arial"/>
        </w:rPr>
        <w:t xml:space="preserve"> </w:t>
      </w:r>
      <w:r w:rsidR="00142010">
        <w:rPr>
          <w:rFonts w:ascii="Arial" w:hAnsi="Arial" w:cs="Arial"/>
        </w:rPr>
        <w:t>2022</w:t>
      </w:r>
    </w:p>
    <w:p w14:paraId="0AC1DE73" w14:textId="58BDF537" w:rsidR="0028682D" w:rsidRDefault="0028682D" w:rsidP="001F73AF">
      <w:pPr>
        <w:pStyle w:val="Heading1"/>
        <w:numPr>
          <w:ilvl w:val="0"/>
          <w:numId w:val="11"/>
        </w:numPr>
        <w:rPr>
          <w:rFonts w:ascii="Arial" w:hAnsi="Arial" w:cs="Arial"/>
          <w:sz w:val="22"/>
          <w:szCs w:val="22"/>
        </w:rPr>
      </w:pPr>
      <w:r>
        <w:rPr>
          <w:rFonts w:ascii="Arial" w:hAnsi="Arial" w:cs="Arial"/>
          <w:sz w:val="22"/>
          <w:szCs w:val="22"/>
        </w:rPr>
        <w:t>CMA obligations</w:t>
      </w:r>
    </w:p>
    <w:p w14:paraId="1F91F4E6" w14:textId="50529242" w:rsidR="00F63BC6" w:rsidRPr="008836A6" w:rsidRDefault="001F73AF" w:rsidP="00272A50">
      <w:pPr>
        <w:pStyle w:val="Heading1"/>
        <w:numPr>
          <w:ilvl w:val="1"/>
          <w:numId w:val="11"/>
        </w:numPr>
        <w:rPr>
          <w:rFonts w:ascii="Arial" w:hAnsi="Arial" w:cs="Arial"/>
          <w:sz w:val="22"/>
          <w:szCs w:val="22"/>
        </w:rPr>
      </w:pPr>
      <w:r w:rsidRPr="008836A6">
        <w:rPr>
          <w:rFonts w:ascii="Arial" w:hAnsi="Arial" w:cs="Arial"/>
          <w:sz w:val="22"/>
          <w:szCs w:val="22"/>
        </w:rPr>
        <w:t>Background</w:t>
      </w:r>
    </w:p>
    <w:p w14:paraId="3D6CDE77" w14:textId="77777777" w:rsidR="00F63BC6" w:rsidRPr="008836A6" w:rsidRDefault="00F63BC6" w:rsidP="00272A50">
      <w:pPr>
        <w:pStyle w:val="NormalWeb"/>
        <w:shd w:val="clear" w:color="auto" w:fill="FFFFFF"/>
        <w:spacing w:before="0" w:beforeAutospacing="0" w:after="150" w:afterAutospacing="0"/>
        <w:ind w:left="360"/>
        <w:rPr>
          <w:rFonts w:ascii="Arial" w:hAnsi="Arial" w:cs="Arial"/>
          <w:color w:val="444444"/>
          <w:sz w:val="22"/>
          <w:szCs w:val="22"/>
        </w:rPr>
      </w:pPr>
      <w:r w:rsidRPr="008836A6">
        <w:rPr>
          <w:rFonts w:ascii="Arial" w:hAnsi="Arial" w:cs="Arial"/>
          <w:color w:val="444444"/>
          <w:sz w:val="22"/>
          <w:szCs w:val="22"/>
        </w:rPr>
        <w:t>The University has a legal obligation to comply with consumer protection legislation including </w:t>
      </w:r>
      <w:hyperlink r:id="rId11" w:history="1">
        <w:r w:rsidRPr="008836A6">
          <w:rPr>
            <w:rStyle w:val="Hyperlink"/>
            <w:rFonts w:ascii="Arial" w:hAnsi="Arial" w:cs="Arial"/>
            <w:color w:val="3277AE"/>
            <w:sz w:val="22"/>
            <w:szCs w:val="22"/>
          </w:rPr>
          <w:t>The Consumer Protection from Unfair Trading Regulations 2008</w:t>
        </w:r>
      </w:hyperlink>
      <w:r w:rsidRPr="008836A6">
        <w:rPr>
          <w:rFonts w:ascii="Arial" w:hAnsi="Arial" w:cs="Arial"/>
          <w:color w:val="444444"/>
          <w:sz w:val="22"/>
          <w:szCs w:val="22"/>
        </w:rPr>
        <w:t> and </w:t>
      </w:r>
      <w:hyperlink r:id="rId12" w:history="1">
        <w:r w:rsidRPr="008836A6">
          <w:rPr>
            <w:rStyle w:val="Hyperlink"/>
            <w:rFonts w:ascii="Arial" w:hAnsi="Arial" w:cs="Arial"/>
            <w:color w:val="3277AE"/>
            <w:sz w:val="22"/>
            <w:szCs w:val="22"/>
          </w:rPr>
          <w:t>The Consumer Contracts (Information, Cancellation and Additional Charges) Regulations 2013</w:t>
        </w:r>
      </w:hyperlink>
      <w:r w:rsidRPr="008836A6">
        <w:rPr>
          <w:rFonts w:ascii="Arial" w:hAnsi="Arial" w:cs="Arial"/>
          <w:color w:val="444444"/>
          <w:sz w:val="22"/>
          <w:szCs w:val="22"/>
        </w:rPr>
        <w:t>.</w:t>
      </w:r>
    </w:p>
    <w:p w14:paraId="6FA1B705" w14:textId="19C8E0EF" w:rsidR="00DE7DD7" w:rsidRPr="008836A6" w:rsidRDefault="00F63BC6" w:rsidP="00B52C92">
      <w:pPr>
        <w:pStyle w:val="NormalWeb"/>
        <w:shd w:val="clear" w:color="auto" w:fill="FFFFFF"/>
        <w:spacing w:before="0" w:beforeAutospacing="0" w:after="150" w:afterAutospacing="0"/>
        <w:ind w:left="360"/>
        <w:rPr>
          <w:rFonts w:ascii="Arial" w:hAnsi="Arial" w:cs="Arial"/>
          <w:color w:val="444444"/>
          <w:sz w:val="22"/>
          <w:szCs w:val="22"/>
        </w:rPr>
      </w:pPr>
      <w:r w:rsidRPr="008836A6">
        <w:rPr>
          <w:rFonts w:ascii="Arial" w:hAnsi="Arial" w:cs="Arial"/>
          <w:color w:val="444444"/>
          <w:sz w:val="22"/>
          <w:szCs w:val="22"/>
        </w:rPr>
        <w:t>Compliance with consumer protection laws is monitored externally by the Competition and Markets Authority (CMA) and the Office for Students (</w:t>
      </w:r>
      <w:proofErr w:type="spellStart"/>
      <w:r w:rsidRPr="008836A6">
        <w:rPr>
          <w:rFonts w:ascii="Arial" w:hAnsi="Arial" w:cs="Arial"/>
          <w:color w:val="444444"/>
          <w:sz w:val="22"/>
          <w:szCs w:val="22"/>
        </w:rPr>
        <w:t>O</w:t>
      </w:r>
      <w:r w:rsidR="004E6071">
        <w:rPr>
          <w:rFonts w:ascii="Arial" w:hAnsi="Arial" w:cs="Arial"/>
          <w:color w:val="444444"/>
          <w:sz w:val="22"/>
          <w:szCs w:val="22"/>
        </w:rPr>
        <w:t>f</w:t>
      </w:r>
      <w:r w:rsidRPr="008836A6">
        <w:rPr>
          <w:rFonts w:ascii="Arial" w:hAnsi="Arial" w:cs="Arial"/>
          <w:color w:val="444444"/>
          <w:sz w:val="22"/>
          <w:szCs w:val="22"/>
        </w:rPr>
        <w:t>S</w:t>
      </w:r>
      <w:proofErr w:type="spellEnd"/>
      <w:r w:rsidRPr="008836A6">
        <w:rPr>
          <w:rFonts w:ascii="Arial" w:hAnsi="Arial" w:cs="Arial"/>
          <w:color w:val="444444"/>
          <w:sz w:val="22"/>
          <w:szCs w:val="22"/>
        </w:rPr>
        <w:t>). The CMA has issued </w:t>
      </w:r>
      <w:hyperlink r:id="rId13" w:history="1">
        <w:r w:rsidRPr="008836A6">
          <w:rPr>
            <w:rStyle w:val="Hyperlink"/>
            <w:rFonts w:ascii="Arial" w:hAnsi="Arial" w:cs="Arial"/>
            <w:color w:val="3277AE"/>
            <w:sz w:val="22"/>
            <w:szCs w:val="22"/>
          </w:rPr>
          <w:t>advice on consumer protection law</w:t>
        </w:r>
      </w:hyperlink>
      <w:r w:rsidRPr="008836A6">
        <w:rPr>
          <w:rFonts w:ascii="Arial" w:hAnsi="Arial" w:cs="Arial"/>
          <w:color w:val="444444"/>
          <w:sz w:val="22"/>
          <w:szCs w:val="22"/>
        </w:rPr>
        <w:t> in relation to higher education in England. This guidance sets out the responsibilities of higher education providers in relation to both prospective and current students. The CMA have also published a </w:t>
      </w:r>
      <w:hyperlink r:id="rId14" w:history="1">
        <w:r w:rsidRPr="008836A6">
          <w:rPr>
            <w:rStyle w:val="Hyperlink"/>
            <w:rFonts w:ascii="Arial" w:hAnsi="Arial" w:cs="Arial"/>
            <w:color w:val="3277AE"/>
            <w:sz w:val="22"/>
            <w:szCs w:val="22"/>
          </w:rPr>
          <w:t>guide to consumer rights for students</w:t>
        </w:r>
      </w:hyperlink>
      <w:r w:rsidRPr="008836A6">
        <w:rPr>
          <w:rFonts w:ascii="Arial" w:hAnsi="Arial" w:cs="Arial"/>
          <w:color w:val="444444"/>
          <w:sz w:val="22"/>
          <w:szCs w:val="22"/>
        </w:rPr>
        <w:t>.</w:t>
      </w:r>
    </w:p>
    <w:p w14:paraId="2640AD82" w14:textId="77777777" w:rsidR="00F63BC6" w:rsidRPr="008836A6" w:rsidRDefault="00F63BC6" w:rsidP="00272A50">
      <w:pPr>
        <w:pStyle w:val="Heading1"/>
        <w:numPr>
          <w:ilvl w:val="1"/>
          <w:numId w:val="11"/>
        </w:numPr>
        <w:rPr>
          <w:rFonts w:ascii="Arial" w:eastAsia="Times New Roman" w:hAnsi="Arial" w:cs="Arial"/>
          <w:sz w:val="22"/>
          <w:szCs w:val="22"/>
          <w:lang w:eastAsia="en-GB"/>
        </w:rPr>
      </w:pPr>
      <w:r w:rsidRPr="008836A6">
        <w:rPr>
          <w:rFonts w:ascii="Arial" w:eastAsia="Times New Roman" w:hAnsi="Arial" w:cs="Arial"/>
          <w:sz w:val="22"/>
          <w:szCs w:val="22"/>
          <w:lang w:eastAsia="en-GB"/>
        </w:rPr>
        <w:t>What is the CMA Guidance?</w:t>
      </w:r>
    </w:p>
    <w:p w14:paraId="55A66E68" w14:textId="3572286F" w:rsidR="00D50D55" w:rsidRPr="008836A6" w:rsidRDefault="00F63BC6" w:rsidP="00B52C92">
      <w:pPr>
        <w:spacing w:after="0" w:line="240" w:lineRule="auto"/>
        <w:ind w:left="360"/>
        <w:rPr>
          <w:rFonts w:ascii="Arial" w:eastAsia="Times New Roman" w:hAnsi="Arial" w:cs="Arial"/>
          <w:color w:val="000000"/>
          <w:shd w:val="clear" w:color="auto" w:fill="FFFFFF"/>
          <w:lang w:eastAsia="en-GB"/>
        </w:rPr>
      </w:pPr>
      <w:r w:rsidRPr="008836A6">
        <w:rPr>
          <w:rFonts w:ascii="Arial" w:eastAsia="Times New Roman" w:hAnsi="Arial" w:cs="Arial"/>
          <w:color w:val="000000"/>
          <w:shd w:val="clear" w:color="auto" w:fill="FFFFFF"/>
          <w:lang w:eastAsia="en-GB"/>
        </w:rPr>
        <w:t xml:space="preserve">In March 2015 the Competition and Markets Authority (CMA) provided guidance to Higher Education Institutions that provide undergraduate programmes about their obligations to students in terms of consumer regulations, the provision of up-to-date, accurate programme information, including full costs of programmes, and not just the tuition fee. </w:t>
      </w:r>
      <w:proofErr w:type="gramStart"/>
      <w:r w:rsidRPr="008836A6">
        <w:rPr>
          <w:rFonts w:ascii="Arial" w:eastAsia="Times New Roman" w:hAnsi="Arial" w:cs="Arial"/>
          <w:color w:val="000000"/>
          <w:shd w:val="clear" w:color="auto" w:fill="FFFFFF"/>
          <w:lang w:eastAsia="en-GB"/>
        </w:rPr>
        <w:t>In order to</w:t>
      </w:r>
      <w:proofErr w:type="gramEnd"/>
      <w:r w:rsidRPr="008836A6">
        <w:rPr>
          <w:rFonts w:ascii="Arial" w:eastAsia="Times New Roman" w:hAnsi="Arial" w:cs="Arial"/>
          <w:color w:val="000000"/>
          <w:shd w:val="clear" w:color="auto" w:fill="FFFFFF"/>
          <w:lang w:eastAsia="en-GB"/>
        </w:rPr>
        <w:t xml:space="preserve"> ensure all of our information is robust and we are fully compliant with consumer protection law, the University is applying the CMA guidance to </w:t>
      </w:r>
      <w:r w:rsidR="00BA3811" w:rsidRPr="008836A6">
        <w:rPr>
          <w:rFonts w:ascii="Arial" w:eastAsia="Times New Roman" w:hAnsi="Arial" w:cs="Arial"/>
          <w:color w:val="000000"/>
          <w:shd w:val="clear" w:color="auto" w:fill="FFFFFF"/>
          <w:lang w:eastAsia="en-GB"/>
        </w:rPr>
        <w:t>all</w:t>
      </w:r>
      <w:r w:rsidRPr="008836A6">
        <w:rPr>
          <w:rFonts w:ascii="Arial" w:eastAsia="Times New Roman" w:hAnsi="Arial" w:cs="Arial"/>
          <w:color w:val="000000"/>
          <w:shd w:val="clear" w:color="auto" w:fill="FFFFFF"/>
          <w:lang w:eastAsia="en-GB"/>
        </w:rPr>
        <w:t xml:space="preserve"> programmes.</w:t>
      </w:r>
    </w:p>
    <w:p w14:paraId="1958489E" w14:textId="77777777" w:rsidR="00F63BC6" w:rsidRPr="008836A6" w:rsidRDefault="00F63BC6" w:rsidP="00272A50">
      <w:pPr>
        <w:pStyle w:val="Heading1"/>
        <w:numPr>
          <w:ilvl w:val="1"/>
          <w:numId w:val="11"/>
        </w:numPr>
        <w:rPr>
          <w:rFonts w:ascii="Arial" w:eastAsia="Times New Roman" w:hAnsi="Arial" w:cs="Arial"/>
          <w:sz w:val="22"/>
          <w:szCs w:val="22"/>
          <w:lang w:eastAsia="en-GB"/>
        </w:rPr>
      </w:pPr>
      <w:r w:rsidRPr="008836A6">
        <w:rPr>
          <w:rFonts w:ascii="Arial" w:eastAsia="Times New Roman" w:hAnsi="Arial" w:cs="Arial"/>
          <w:sz w:val="22"/>
          <w:szCs w:val="22"/>
          <w:lang w:eastAsia="en-GB"/>
        </w:rPr>
        <w:t>Why is it important?</w:t>
      </w:r>
    </w:p>
    <w:p w14:paraId="5D1A7ED7" w14:textId="174005EE" w:rsidR="00D50D55" w:rsidRPr="008836A6" w:rsidRDefault="00F63BC6" w:rsidP="00B52C92">
      <w:pPr>
        <w:spacing w:after="0" w:line="240" w:lineRule="auto"/>
        <w:ind w:left="360"/>
        <w:rPr>
          <w:rFonts w:ascii="Arial" w:eastAsia="Times New Roman" w:hAnsi="Arial" w:cs="Arial"/>
          <w:color w:val="000000"/>
          <w:shd w:val="clear" w:color="auto" w:fill="FFFFFF"/>
          <w:lang w:eastAsia="en-GB"/>
        </w:rPr>
      </w:pPr>
      <w:r w:rsidRPr="008836A6">
        <w:rPr>
          <w:rFonts w:ascii="Arial" w:eastAsia="Times New Roman" w:hAnsi="Arial" w:cs="Arial"/>
          <w:color w:val="000000"/>
          <w:shd w:val="clear" w:color="auto" w:fill="FFFFFF"/>
          <w:lang w:eastAsia="en-GB"/>
        </w:rPr>
        <w:t>The guidance requires the University to ensure that it remains within the law. If we do not meet our obligations, we may be in breach of consumer law and risk enforcement action. In some circumstances, students may also have the right to take legal action against the University or seek redress, such as full fee repayment.</w:t>
      </w:r>
    </w:p>
    <w:p w14:paraId="280F9735" w14:textId="77777777" w:rsidR="00F63BC6" w:rsidRPr="008836A6" w:rsidRDefault="00F63BC6" w:rsidP="00272A50">
      <w:pPr>
        <w:pStyle w:val="Heading1"/>
        <w:numPr>
          <w:ilvl w:val="1"/>
          <w:numId w:val="11"/>
        </w:numPr>
        <w:rPr>
          <w:rFonts w:ascii="Arial" w:eastAsia="Times New Roman" w:hAnsi="Arial" w:cs="Arial"/>
          <w:sz w:val="22"/>
          <w:szCs w:val="22"/>
          <w:lang w:eastAsia="en-GB"/>
        </w:rPr>
      </w:pPr>
      <w:r w:rsidRPr="008836A6">
        <w:rPr>
          <w:rFonts w:ascii="Arial" w:eastAsia="Times New Roman" w:hAnsi="Arial" w:cs="Arial"/>
          <w:sz w:val="22"/>
          <w:szCs w:val="22"/>
          <w:lang w:eastAsia="en-GB"/>
        </w:rPr>
        <w:t>How does consumer law apply to the information we provide?</w:t>
      </w:r>
    </w:p>
    <w:p w14:paraId="65D743A4" w14:textId="63251101" w:rsidR="001F73AF" w:rsidRPr="008836A6" w:rsidRDefault="00F63BC6" w:rsidP="00B52C92">
      <w:pPr>
        <w:spacing w:after="0" w:line="240" w:lineRule="auto"/>
        <w:ind w:left="360"/>
        <w:rPr>
          <w:rFonts w:ascii="Arial" w:eastAsia="Times New Roman" w:hAnsi="Arial" w:cs="Arial"/>
          <w:color w:val="000000"/>
          <w:shd w:val="clear" w:color="auto" w:fill="FFFFFF"/>
          <w:lang w:eastAsia="en-GB"/>
        </w:rPr>
      </w:pPr>
      <w:r w:rsidRPr="008836A6">
        <w:rPr>
          <w:rFonts w:ascii="Arial" w:eastAsia="Times New Roman" w:hAnsi="Arial" w:cs="Arial"/>
          <w:color w:val="000000"/>
          <w:shd w:val="clear" w:color="auto" w:fill="FFFFFF"/>
          <w:lang w:eastAsia="en-GB"/>
        </w:rPr>
        <w:t>All types of information given to current students and applicants falls within consumer law. This includes information given at the pre-admission/enquiry stage and throughout the admissions process in both print/digital communications (subject leaflets, emails, letters, websites) and oral communications (telephone conversations, Open/Applicant/</w:t>
      </w:r>
      <w:proofErr w:type="spellStart"/>
      <w:r w:rsidR="001F73AF" w:rsidRPr="008836A6">
        <w:rPr>
          <w:rFonts w:ascii="Arial" w:eastAsia="Times New Roman" w:hAnsi="Arial" w:cs="Arial"/>
          <w:color w:val="000000"/>
          <w:shd w:val="clear" w:color="auto" w:fill="FFFFFF"/>
          <w:lang w:eastAsia="en-GB"/>
        </w:rPr>
        <w:t>NUx</w:t>
      </w:r>
      <w:proofErr w:type="spellEnd"/>
      <w:r w:rsidRPr="008836A6">
        <w:rPr>
          <w:rFonts w:ascii="Arial" w:eastAsia="Times New Roman" w:hAnsi="Arial" w:cs="Arial"/>
          <w:color w:val="000000"/>
          <w:shd w:val="clear" w:color="auto" w:fill="FFFFFF"/>
          <w:lang w:eastAsia="en-GB"/>
        </w:rPr>
        <w:t xml:space="preserve"> Days). We are required to give prospective students the information they need to make an </w:t>
      </w:r>
      <w:r w:rsidRPr="00FF0C4C">
        <w:rPr>
          <w:rFonts w:ascii="Arial" w:eastAsia="Times New Roman" w:hAnsi="Arial" w:cs="Arial"/>
          <w:color w:val="000000"/>
          <w:shd w:val="clear" w:color="auto" w:fill="FFFFFF"/>
          <w:lang w:eastAsia="en-GB"/>
        </w:rPr>
        <w:t>informed</w:t>
      </w:r>
      <w:r w:rsidRPr="008836A6">
        <w:rPr>
          <w:rFonts w:ascii="Arial" w:eastAsia="Times New Roman" w:hAnsi="Arial" w:cs="Arial"/>
          <w:color w:val="000000"/>
          <w:shd w:val="clear" w:color="auto" w:fill="FFFFFF"/>
          <w:lang w:eastAsia="en-GB"/>
        </w:rPr>
        <w:t xml:space="preserve"> decision before they apply.</w:t>
      </w:r>
    </w:p>
    <w:p w14:paraId="223774EB" w14:textId="77777777" w:rsidR="00F63BC6" w:rsidRPr="008836A6" w:rsidRDefault="00F63BC6" w:rsidP="00272A50">
      <w:pPr>
        <w:pStyle w:val="Heading1"/>
        <w:numPr>
          <w:ilvl w:val="1"/>
          <w:numId w:val="11"/>
        </w:numPr>
        <w:rPr>
          <w:rFonts w:ascii="Arial" w:eastAsia="Times New Roman" w:hAnsi="Arial" w:cs="Arial"/>
          <w:sz w:val="22"/>
          <w:szCs w:val="22"/>
          <w:lang w:eastAsia="en-GB"/>
        </w:rPr>
      </w:pPr>
      <w:r w:rsidRPr="008836A6">
        <w:rPr>
          <w:rFonts w:ascii="Arial" w:eastAsia="Times New Roman" w:hAnsi="Arial" w:cs="Arial"/>
          <w:sz w:val="22"/>
          <w:szCs w:val="22"/>
          <w:lang w:eastAsia="en-GB"/>
        </w:rPr>
        <w:t>What does the CMA guidance cover?</w:t>
      </w:r>
    </w:p>
    <w:p w14:paraId="448D190A" w14:textId="3CD53797" w:rsidR="00F63BC6" w:rsidRPr="008836A6" w:rsidRDefault="00F63BC6" w:rsidP="00272A50">
      <w:pPr>
        <w:spacing w:after="0" w:line="240" w:lineRule="auto"/>
        <w:ind w:left="360"/>
        <w:rPr>
          <w:rFonts w:ascii="Arial" w:eastAsia="Times New Roman" w:hAnsi="Arial" w:cs="Arial"/>
          <w:color w:val="000000"/>
          <w:shd w:val="clear" w:color="auto" w:fill="FFFFFF"/>
          <w:lang w:eastAsia="en-GB"/>
        </w:rPr>
      </w:pPr>
      <w:r w:rsidRPr="008836A6">
        <w:rPr>
          <w:rFonts w:ascii="Arial" w:eastAsia="Times New Roman" w:hAnsi="Arial" w:cs="Arial"/>
          <w:color w:val="000000"/>
          <w:shd w:val="clear" w:color="auto" w:fill="FFFFFF"/>
          <w:lang w:eastAsia="en-GB"/>
        </w:rPr>
        <w:t xml:space="preserve">The guidance relates to three specific areas of practice where the CMA considers that institutions may need to take </w:t>
      </w:r>
      <w:proofErr w:type="spellStart"/>
      <w:proofErr w:type="gramStart"/>
      <w:r w:rsidRPr="008836A6">
        <w:rPr>
          <w:rFonts w:ascii="Arial" w:eastAsia="Times New Roman" w:hAnsi="Arial" w:cs="Arial"/>
          <w:color w:val="000000"/>
          <w:shd w:val="clear" w:color="auto" w:fill="FFFFFF"/>
          <w:lang w:eastAsia="en-GB"/>
        </w:rPr>
        <w:t>action</w:t>
      </w:r>
      <w:r w:rsidR="003163E4">
        <w:rPr>
          <w:rFonts w:ascii="Arial" w:eastAsia="Times New Roman" w:hAnsi="Arial" w:cs="Arial"/>
          <w:color w:val="000000"/>
          <w:shd w:val="clear" w:color="auto" w:fill="FFFFFF"/>
          <w:lang w:eastAsia="en-GB"/>
        </w:rPr>
        <w:t>,</w:t>
      </w:r>
      <w:r w:rsidRPr="008836A6">
        <w:rPr>
          <w:rFonts w:ascii="Arial" w:eastAsia="Times New Roman" w:hAnsi="Arial" w:cs="Arial"/>
          <w:color w:val="000000"/>
          <w:shd w:val="clear" w:color="auto" w:fill="FFFFFF"/>
          <w:lang w:eastAsia="en-GB"/>
        </w:rPr>
        <w:t>or</w:t>
      </w:r>
      <w:proofErr w:type="spellEnd"/>
      <w:proofErr w:type="gramEnd"/>
      <w:r w:rsidRPr="008836A6">
        <w:rPr>
          <w:rFonts w:ascii="Arial" w:eastAsia="Times New Roman" w:hAnsi="Arial" w:cs="Arial"/>
          <w:color w:val="000000"/>
          <w:shd w:val="clear" w:color="auto" w:fill="FFFFFF"/>
          <w:lang w:eastAsia="en-GB"/>
        </w:rPr>
        <w:t xml:space="preserve"> modify existing practice in order to comply with consumer protection law.</w:t>
      </w:r>
    </w:p>
    <w:p w14:paraId="4A43E2D9" w14:textId="77777777" w:rsidR="001F73AF" w:rsidRPr="008836A6" w:rsidRDefault="001F73AF" w:rsidP="00F63BC6">
      <w:pPr>
        <w:spacing w:after="0" w:line="240" w:lineRule="auto"/>
        <w:rPr>
          <w:rFonts w:ascii="Arial" w:eastAsia="Times New Roman" w:hAnsi="Arial" w:cs="Arial"/>
          <w:lang w:eastAsia="en-GB"/>
        </w:rPr>
      </w:pPr>
    </w:p>
    <w:p w14:paraId="74065AEA" w14:textId="77777777" w:rsidR="00F63BC6" w:rsidRPr="008836A6" w:rsidRDefault="00F63BC6" w:rsidP="00272A50">
      <w:pPr>
        <w:shd w:val="clear" w:color="auto" w:fill="FFFFFF"/>
        <w:spacing w:after="150" w:line="240" w:lineRule="auto"/>
        <w:ind w:left="360"/>
        <w:outlineLvl w:val="2"/>
        <w:rPr>
          <w:rFonts w:ascii="Arial" w:eastAsia="Times New Roman" w:hAnsi="Arial" w:cs="Arial"/>
          <w:lang w:eastAsia="en-GB"/>
        </w:rPr>
      </w:pPr>
      <w:r w:rsidRPr="008836A6">
        <w:rPr>
          <w:rFonts w:ascii="Arial" w:eastAsia="Times New Roman" w:hAnsi="Arial" w:cs="Arial"/>
          <w:lang w:eastAsia="en-GB"/>
        </w:rPr>
        <w:t>The University must:</w:t>
      </w:r>
    </w:p>
    <w:p w14:paraId="32DAAB62" w14:textId="77777777" w:rsidR="00F63BC6" w:rsidRPr="008836A6" w:rsidRDefault="00F63BC6" w:rsidP="00F11C99">
      <w:pPr>
        <w:numPr>
          <w:ilvl w:val="0"/>
          <w:numId w:val="1"/>
        </w:numPr>
        <w:shd w:val="clear" w:color="auto" w:fill="FFFFFF"/>
        <w:spacing w:before="60" w:after="60" w:line="240" w:lineRule="auto"/>
        <w:ind w:left="1080"/>
        <w:rPr>
          <w:rFonts w:ascii="Arial" w:eastAsia="Times New Roman" w:hAnsi="Arial" w:cs="Arial"/>
          <w:color w:val="000000"/>
          <w:lang w:eastAsia="en-GB"/>
        </w:rPr>
      </w:pPr>
      <w:r w:rsidRPr="008836A6">
        <w:rPr>
          <w:rFonts w:ascii="Arial" w:eastAsia="Times New Roman" w:hAnsi="Arial" w:cs="Arial"/>
          <w:color w:val="000000"/>
          <w:lang w:eastAsia="en-GB"/>
        </w:rPr>
        <w:t>articulate compulsory modules on all its course pages</w:t>
      </w:r>
    </w:p>
    <w:p w14:paraId="09EDA97E" w14:textId="77777777" w:rsidR="00F63BC6" w:rsidRPr="008836A6" w:rsidRDefault="00F63BC6" w:rsidP="00F11C99">
      <w:pPr>
        <w:numPr>
          <w:ilvl w:val="0"/>
          <w:numId w:val="1"/>
        </w:numPr>
        <w:shd w:val="clear" w:color="auto" w:fill="FFFFFF"/>
        <w:spacing w:before="60" w:after="60" w:line="240" w:lineRule="auto"/>
        <w:ind w:left="1080"/>
        <w:rPr>
          <w:rFonts w:ascii="Arial" w:eastAsia="Times New Roman" w:hAnsi="Arial" w:cs="Arial"/>
          <w:color w:val="000000"/>
          <w:lang w:eastAsia="en-GB"/>
        </w:rPr>
      </w:pPr>
      <w:r w:rsidRPr="008836A6">
        <w:rPr>
          <w:rFonts w:ascii="Arial" w:eastAsia="Times New Roman" w:hAnsi="Arial" w:cs="Arial"/>
          <w:color w:val="000000"/>
          <w:lang w:eastAsia="en-GB"/>
        </w:rPr>
        <w:t>provide applicants and students with clear, accurate and timely information to enable them to make an informed decision about what and where to study</w:t>
      </w:r>
    </w:p>
    <w:p w14:paraId="7D8C06E9" w14:textId="69BF6D41" w:rsidR="00F63BC6" w:rsidRPr="008836A6" w:rsidRDefault="00F63BC6" w:rsidP="00F11C99">
      <w:pPr>
        <w:numPr>
          <w:ilvl w:val="0"/>
          <w:numId w:val="1"/>
        </w:numPr>
        <w:shd w:val="clear" w:color="auto" w:fill="FFFFFF"/>
        <w:spacing w:before="60" w:after="60" w:line="240" w:lineRule="auto"/>
        <w:ind w:left="1080"/>
        <w:rPr>
          <w:rFonts w:ascii="Arial" w:eastAsia="Times New Roman" w:hAnsi="Arial" w:cs="Arial"/>
          <w:color w:val="000000"/>
          <w:lang w:eastAsia="en-GB"/>
        </w:rPr>
      </w:pPr>
      <w:r w:rsidRPr="008836A6">
        <w:rPr>
          <w:rFonts w:ascii="Arial" w:eastAsia="Times New Roman" w:hAnsi="Arial" w:cs="Arial"/>
          <w:color w:val="000000"/>
          <w:lang w:eastAsia="en-GB"/>
        </w:rPr>
        <w:lastRenderedPageBreak/>
        <w:t xml:space="preserve">ensure our terms and conditions are fair. For example, we cannot make </w:t>
      </w:r>
      <w:r w:rsidR="006254E9" w:rsidRPr="008836A6">
        <w:rPr>
          <w:rFonts w:ascii="Arial" w:eastAsia="Times New Roman" w:hAnsi="Arial" w:cs="Arial"/>
          <w:color w:val="000000"/>
          <w:lang w:eastAsia="en-GB"/>
        </w:rPr>
        <w:t>major</w:t>
      </w:r>
      <w:r w:rsidRPr="008836A6">
        <w:rPr>
          <w:rFonts w:ascii="Arial" w:eastAsia="Times New Roman" w:hAnsi="Arial" w:cs="Arial"/>
          <w:color w:val="000000"/>
          <w:lang w:eastAsia="en-GB"/>
        </w:rPr>
        <w:t xml:space="preserve"> changes to course content, or costs</w:t>
      </w:r>
      <w:r w:rsidR="006254E9" w:rsidRPr="008836A6">
        <w:rPr>
          <w:rFonts w:ascii="Arial" w:eastAsia="Times New Roman" w:hAnsi="Arial" w:cs="Arial"/>
          <w:color w:val="000000"/>
          <w:lang w:eastAsia="en-GB"/>
        </w:rPr>
        <w:t xml:space="preserve"> without </w:t>
      </w:r>
      <w:r w:rsidR="006254E9" w:rsidRPr="00BA4038">
        <w:rPr>
          <w:rFonts w:ascii="Arial" w:eastAsia="Times New Roman" w:hAnsi="Arial" w:cs="Arial"/>
          <w:color w:val="000000"/>
          <w:lang w:eastAsia="en-GB"/>
        </w:rPr>
        <w:t>consultation</w:t>
      </w:r>
      <w:r w:rsidR="006254E9" w:rsidRPr="008836A6">
        <w:rPr>
          <w:rFonts w:ascii="Arial" w:eastAsia="Times New Roman" w:hAnsi="Arial" w:cs="Arial"/>
          <w:color w:val="000000"/>
          <w:lang w:eastAsia="en-GB"/>
        </w:rPr>
        <w:t xml:space="preserve"> with current students or notification to prospective students</w:t>
      </w:r>
    </w:p>
    <w:p w14:paraId="7FF20510" w14:textId="6D9ABA1C" w:rsidR="00F63BC6" w:rsidRPr="008836A6" w:rsidRDefault="00F63BC6" w:rsidP="00F11C99">
      <w:pPr>
        <w:numPr>
          <w:ilvl w:val="0"/>
          <w:numId w:val="1"/>
        </w:numPr>
        <w:shd w:val="clear" w:color="auto" w:fill="FFFFFF"/>
        <w:spacing w:before="60" w:after="60" w:line="240" w:lineRule="auto"/>
        <w:ind w:left="1080"/>
        <w:rPr>
          <w:rFonts w:ascii="Arial" w:eastAsia="Times New Roman" w:hAnsi="Arial" w:cs="Arial"/>
          <w:color w:val="000000"/>
          <w:lang w:eastAsia="en-GB"/>
        </w:rPr>
      </w:pPr>
      <w:r w:rsidRPr="008836A6">
        <w:rPr>
          <w:rFonts w:ascii="Arial" w:eastAsia="Times New Roman" w:hAnsi="Arial" w:cs="Arial"/>
          <w:color w:val="000000"/>
          <w:lang w:eastAsia="en-GB"/>
        </w:rPr>
        <w:t xml:space="preserve">ensure that our complaints handing processes are accessible, </w:t>
      </w:r>
      <w:proofErr w:type="gramStart"/>
      <w:r w:rsidRPr="008836A6">
        <w:rPr>
          <w:rFonts w:ascii="Arial" w:eastAsia="Times New Roman" w:hAnsi="Arial" w:cs="Arial"/>
          <w:color w:val="000000"/>
          <w:lang w:eastAsia="en-GB"/>
        </w:rPr>
        <w:t>clear</w:t>
      </w:r>
      <w:proofErr w:type="gramEnd"/>
      <w:r w:rsidRPr="008836A6">
        <w:rPr>
          <w:rFonts w:ascii="Arial" w:eastAsia="Times New Roman" w:hAnsi="Arial" w:cs="Arial"/>
          <w:color w:val="000000"/>
          <w:lang w:eastAsia="en-GB"/>
        </w:rPr>
        <w:t xml:space="preserve"> and fair</w:t>
      </w:r>
    </w:p>
    <w:p w14:paraId="63E2C340" w14:textId="77777777" w:rsidR="001F73AF" w:rsidRPr="00F63BC6" w:rsidRDefault="001F73AF" w:rsidP="001F73AF">
      <w:pPr>
        <w:shd w:val="clear" w:color="auto" w:fill="FFFFFF"/>
        <w:spacing w:before="60" w:after="60" w:line="360" w:lineRule="atLeast"/>
        <w:ind w:left="1080"/>
        <w:rPr>
          <w:rFonts w:ascii="Arial" w:eastAsia="Times New Roman" w:hAnsi="Arial" w:cs="Arial"/>
          <w:color w:val="000000"/>
          <w:sz w:val="24"/>
          <w:szCs w:val="24"/>
          <w:lang w:eastAsia="en-GB"/>
        </w:rPr>
      </w:pPr>
    </w:p>
    <w:p w14:paraId="02B930BA" w14:textId="77777777" w:rsidR="00F63BC6" w:rsidRPr="00F11C99" w:rsidRDefault="00F63BC6" w:rsidP="00272A50">
      <w:pPr>
        <w:pStyle w:val="Heading1"/>
        <w:numPr>
          <w:ilvl w:val="1"/>
          <w:numId w:val="11"/>
        </w:numPr>
        <w:rPr>
          <w:rFonts w:ascii="Arial" w:eastAsia="Times New Roman" w:hAnsi="Arial" w:cs="Arial"/>
          <w:sz w:val="24"/>
          <w:szCs w:val="24"/>
          <w:lang w:eastAsia="en-GB"/>
        </w:rPr>
      </w:pPr>
      <w:r w:rsidRPr="00F11C99">
        <w:rPr>
          <w:rFonts w:ascii="Arial" w:eastAsia="Times New Roman" w:hAnsi="Arial" w:cs="Arial"/>
          <w:sz w:val="24"/>
          <w:szCs w:val="24"/>
          <w:lang w:eastAsia="en-GB"/>
        </w:rPr>
        <w:t>What does this mean in practical terms?</w:t>
      </w:r>
    </w:p>
    <w:p w14:paraId="4FECFBC2" w14:textId="029CD450" w:rsidR="00F63BC6" w:rsidRPr="00B52C92" w:rsidRDefault="00F63BC6" w:rsidP="00B52C92">
      <w:pPr>
        <w:ind w:left="360"/>
        <w:rPr>
          <w:rFonts w:ascii="Arial" w:eastAsia="Times New Roman" w:hAnsi="Arial" w:cs="Arial"/>
          <w:color w:val="000000"/>
          <w:shd w:val="clear" w:color="auto" w:fill="FFFFFF"/>
          <w:lang w:eastAsia="en-GB"/>
        </w:rPr>
      </w:pPr>
      <w:r w:rsidRPr="008836A6">
        <w:rPr>
          <w:rFonts w:ascii="Arial" w:eastAsia="Times New Roman" w:hAnsi="Arial" w:cs="Arial"/>
          <w:color w:val="000000"/>
          <w:shd w:val="clear" w:color="auto" w:fill="FFFFFF"/>
          <w:lang w:eastAsia="en-GB"/>
        </w:rPr>
        <w:t>The University has to ensure that the required ‘material’ information accurately reflects what students will study and how they will be assessed and that the information is easily available to applicants in a timely manner at the </w:t>
      </w:r>
      <w:r w:rsidRPr="008836A6">
        <w:rPr>
          <w:rFonts w:ascii="Arial" w:eastAsia="Times New Roman" w:hAnsi="Arial" w:cs="Arial"/>
          <w:b/>
          <w:bCs/>
          <w:color w:val="000000"/>
          <w:shd w:val="clear" w:color="auto" w:fill="FFFFFF"/>
          <w:lang w:eastAsia="en-GB"/>
        </w:rPr>
        <w:t>pre-contractual stage</w:t>
      </w:r>
      <w:r w:rsidRPr="008836A6">
        <w:rPr>
          <w:rFonts w:ascii="Arial" w:eastAsia="Times New Roman" w:hAnsi="Arial" w:cs="Arial"/>
          <w:color w:val="000000"/>
          <w:shd w:val="clear" w:color="auto" w:fill="FFFFFF"/>
          <w:lang w:eastAsia="en-GB"/>
        </w:rPr>
        <w:t> (before their offer is made), and the </w:t>
      </w:r>
      <w:r w:rsidRPr="008836A6">
        <w:rPr>
          <w:rFonts w:ascii="Arial" w:eastAsia="Times New Roman" w:hAnsi="Arial" w:cs="Arial"/>
          <w:b/>
          <w:bCs/>
          <w:color w:val="000000"/>
          <w:shd w:val="clear" w:color="auto" w:fill="FFFFFF"/>
          <w:lang w:eastAsia="en-GB"/>
        </w:rPr>
        <w:t>post-contractual stage</w:t>
      </w:r>
      <w:r w:rsidRPr="008836A6">
        <w:rPr>
          <w:rFonts w:ascii="Arial" w:eastAsia="Times New Roman" w:hAnsi="Arial" w:cs="Arial"/>
          <w:color w:val="000000"/>
          <w:shd w:val="clear" w:color="auto" w:fill="FFFFFF"/>
          <w:lang w:eastAsia="en-GB"/>
        </w:rPr>
        <w:t> (once their offer is made).</w:t>
      </w:r>
      <w:r w:rsidRPr="008836A6">
        <w:rPr>
          <w:rFonts w:ascii="Arial" w:eastAsia="Times New Roman" w:hAnsi="Arial" w:cs="Arial"/>
          <w:color w:val="000000"/>
          <w:lang w:eastAsia="en-GB"/>
        </w:rPr>
        <w:br/>
      </w:r>
      <w:r w:rsidRPr="008836A6">
        <w:rPr>
          <w:rFonts w:ascii="Arial" w:eastAsia="Times New Roman" w:hAnsi="Arial" w:cs="Arial"/>
          <w:color w:val="000000"/>
          <w:lang w:eastAsia="en-GB"/>
        </w:rPr>
        <w:br/>
      </w:r>
      <w:r w:rsidRPr="008836A6">
        <w:rPr>
          <w:rFonts w:ascii="Arial" w:eastAsia="Times New Roman" w:hAnsi="Arial" w:cs="Arial"/>
          <w:color w:val="000000"/>
          <w:shd w:val="clear" w:color="auto" w:fill="FFFFFF"/>
          <w:lang w:eastAsia="en-GB"/>
        </w:rPr>
        <w:t>The </w:t>
      </w:r>
      <w:r w:rsidRPr="008836A6">
        <w:rPr>
          <w:rFonts w:ascii="Arial" w:eastAsia="Times New Roman" w:hAnsi="Arial" w:cs="Arial"/>
          <w:b/>
          <w:bCs/>
          <w:color w:val="000000"/>
          <w:shd w:val="clear" w:color="auto" w:fill="FFFFFF"/>
          <w:lang w:eastAsia="en-GB"/>
        </w:rPr>
        <w:t>pre-contractual stage</w:t>
      </w:r>
      <w:r w:rsidRPr="008836A6">
        <w:rPr>
          <w:rFonts w:ascii="Arial" w:eastAsia="Times New Roman" w:hAnsi="Arial" w:cs="Arial"/>
          <w:color w:val="000000"/>
          <w:shd w:val="clear" w:color="auto" w:fill="FFFFFF"/>
          <w:lang w:eastAsia="en-GB"/>
        </w:rPr>
        <w:t> includes the promotional and recruitment period and, for undergraduate students, effectively starts 18 months prior to enrolment when the UCAS admissions cycle begins.</w:t>
      </w:r>
      <w:r w:rsidR="00F81F54" w:rsidRPr="008836A6">
        <w:rPr>
          <w:rFonts w:ascii="Arial" w:eastAsia="Times New Roman" w:hAnsi="Arial" w:cs="Arial"/>
          <w:color w:val="000000"/>
          <w:shd w:val="clear" w:color="auto" w:fill="FFFFFF"/>
          <w:lang w:eastAsia="en-GB"/>
        </w:rPr>
        <w:t xml:space="preserve">  We can make changes during this time, so long as we communicate in a timely manner and our decisions </w:t>
      </w:r>
      <w:r w:rsidR="00E85925">
        <w:rPr>
          <w:rFonts w:ascii="Arial" w:eastAsia="Times New Roman" w:hAnsi="Arial" w:cs="Arial"/>
          <w:color w:val="000000"/>
          <w:shd w:val="clear" w:color="auto" w:fill="FFFFFF"/>
          <w:lang w:eastAsia="en-GB"/>
        </w:rPr>
        <w:t>d</w:t>
      </w:r>
      <w:r w:rsidR="00F81F54" w:rsidRPr="008836A6">
        <w:rPr>
          <w:rFonts w:ascii="Arial" w:eastAsia="Times New Roman" w:hAnsi="Arial" w:cs="Arial"/>
          <w:color w:val="000000"/>
          <w:shd w:val="clear" w:color="auto" w:fill="FFFFFF"/>
          <w:lang w:eastAsia="en-GB"/>
        </w:rPr>
        <w:t>o not disadvantage the applicant.</w:t>
      </w:r>
      <w:r w:rsidRPr="008836A6">
        <w:rPr>
          <w:rFonts w:ascii="Arial" w:eastAsia="Times New Roman" w:hAnsi="Arial" w:cs="Arial"/>
          <w:color w:val="000000"/>
          <w:lang w:eastAsia="en-GB"/>
        </w:rPr>
        <w:br/>
      </w:r>
      <w:r w:rsidRPr="008836A6">
        <w:rPr>
          <w:rFonts w:ascii="Arial" w:eastAsia="Times New Roman" w:hAnsi="Arial" w:cs="Arial"/>
          <w:color w:val="000000"/>
          <w:lang w:eastAsia="en-GB"/>
        </w:rPr>
        <w:br/>
      </w:r>
      <w:r w:rsidRPr="008836A6">
        <w:rPr>
          <w:rFonts w:ascii="Arial" w:eastAsia="Times New Roman" w:hAnsi="Arial" w:cs="Arial"/>
          <w:color w:val="000000"/>
          <w:shd w:val="clear" w:color="auto" w:fill="FFFFFF"/>
          <w:lang w:eastAsia="en-GB"/>
        </w:rPr>
        <w:t>The </w:t>
      </w:r>
      <w:r w:rsidRPr="008836A6">
        <w:rPr>
          <w:rFonts w:ascii="Arial" w:eastAsia="Times New Roman" w:hAnsi="Arial" w:cs="Arial"/>
          <w:b/>
          <w:bCs/>
          <w:color w:val="000000"/>
          <w:shd w:val="clear" w:color="auto" w:fill="FFFFFF"/>
          <w:lang w:eastAsia="en-GB"/>
        </w:rPr>
        <w:t>post-contractual stage</w:t>
      </w:r>
      <w:r w:rsidRPr="008836A6">
        <w:rPr>
          <w:rFonts w:ascii="Arial" w:eastAsia="Times New Roman" w:hAnsi="Arial" w:cs="Arial"/>
          <w:color w:val="000000"/>
          <w:shd w:val="clear" w:color="auto" w:fill="FFFFFF"/>
          <w:lang w:eastAsia="en-GB"/>
        </w:rPr>
        <w:t> starts from the point at which the offer is made and accepted, which could be from 1 October in the year preceding the student enrolling the following September, therefore up to almost 12 months prior to enrolment.</w:t>
      </w:r>
      <w:r w:rsidR="005F309A">
        <w:rPr>
          <w:rFonts w:ascii="Arial" w:eastAsia="Times New Roman" w:hAnsi="Arial" w:cs="Arial"/>
          <w:color w:val="000000"/>
          <w:shd w:val="clear" w:color="auto" w:fill="FFFFFF"/>
          <w:lang w:eastAsia="en-GB"/>
        </w:rPr>
        <w:t xml:space="preserve"> Major changes after this point must be </w:t>
      </w:r>
      <w:r w:rsidR="005F309A" w:rsidRPr="00BA4038">
        <w:rPr>
          <w:rFonts w:ascii="Arial" w:eastAsia="Times New Roman" w:hAnsi="Arial" w:cs="Arial"/>
          <w:color w:val="000000"/>
          <w:shd w:val="clear" w:color="auto" w:fill="FFFFFF"/>
          <w:lang w:eastAsia="en-GB"/>
        </w:rPr>
        <w:t xml:space="preserve">in consultation </w:t>
      </w:r>
      <w:r w:rsidR="004F51C1" w:rsidRPr="00BA4038">
        <w:rPr>
          <w:rFonts w:ascii="Arial" w:eastAsia="Times New Roman" w:hAnsi="Arial" w:cs="Arial"/>
          <w:color w:val="000000"/>
          <w:shd w:val="clear" w:color="auto" w:fill="FFFFFF"/>
          <w:lang w:eastAsia="en-GB"/>
        </w:rPr>
        <w:t>wi</w:t>
      </w:r>
      <w:r w:rsidR="004F51C1">
        <w:rPr>
          <w:rFonts w:ascii="Arial" w:eastAsia="Times New Roman" w:hAnsi="Arial" w:cs="Arial"/>
          <w:color w:val="000000"/>
          <w:shd w:val="clear" w:color="auto" w:fill="FFFFFF"/>
          <w:lang w:eastAsia="en-GB"/>
        </w:rPr>
        <w:t>th the affected group.</w:t>
      </w:r>
    </w:p>
    <w:p w14:paraId="1FC49215" w14:textId="018CDFE0" w:rsidR="00BB609B" w:rsidRDefault="00BB609B" w:rsidP="00F11C99">
      <w:pPr>
        <w:pStyle w:val="Heading1"/>
        <w:numPr>
          <w:ilvl w:val="0"/>
          <w:numId w:val="11"/>
        </w:numPr>
        <w:rPr>
          <w:rFonts w:ascii="Arial" w:eastAsia="Times New Roman" w:hAnsi="Arial" w:cs="Arial"/>
          <w:sz w:val="22"/>
          <w:szCs w:val="22"/>
          <w:lang w:eastAsia="en-GB"/>
        </w:rPr>
      </w:pPr>
      <w:r>
        <w:rPr>
          <w:rFonts w:ascii="Arial" w:eastAsia="Times New Roman" w:hAnsi="Arial" w:cs="Arial"/>
          <w:sz w:val="22"/>
          <w:szCs w:val="22"/>
          <w:lang w:eastAsia="en-GB"/>
        </w:rPr>
        <w:t xml:space="preserve">Information roles, </w:t>
      </w:r>
      <w:proofErr w:type="gramStart"/>
      <w:r>
        <w:rPr>
          <w:rFonts w:ascii="Arial" w:eastAsia="Times New Roman" w:hAnsi="Arial" w:cs="Arial"/>
          <w:sz w:val="22"/>
          <w:szCs w:val="22"/>
          <w:lang w:eastAsia="en-GB"/>
        </w:rPr>
        <w:t>responsibility</w:t>
      </w:r>
      <w:proofErr w:type="gramEnd"/>
      <w:r>
        <w:rPr>
          <w:rFonts w:ascii="Arial" w:eastAsia="Times New Roman" w:hAnsi="Arial" w:cs="Arial"/>
          <w:sz w:val="22"/>
          <w:szCs w:val="22"/>
          <w:lang w:eastAsia="en-GB"/>
        </w:rPr>
        <w:t xml:space="preserve"> and governance</w:t>
      </w:r>
    </w:p>
    <w:p w14:paraId="29376701" w14:textId="77FF7F53" w:rsidR="00F63BC6" w:rsidRPr="00F11C99" w:rsidRDefault="00F11C99" w:rsidP="00BB609B">
      <w:pPr>
        <w:pStyle w:val="Heading1"/>
        <w:numPr>
          <w:ilvl w:val="1"/>
          <w:numId w:val="11"/>
        </w:numPr>
        <w:rPr>
          <w:rFonts w:ascii="Arial" w:eastAsia="Times New Roman" w:hAnsi="Arial" w:cs="Arial"/>
          <w:sz w:val="22"/>
          <w:szCs w:val="22"/>
          <w:lang w:eastAsia="en-GB"/>
        </w:rPr>
      </w:pPr>
      <w:r w:rsidRPr="00F11C99">
        <w:rPr>
          <w:rFonts w:ascii="Arial" w:eastAsia="Times New Roman" w:hAnsi="Arial" w:cs="Arial"/>
          <w:sz w:val="22"/>
          <w:szCs w:val="22"/>
          <w:lang w:eastAsia="en-GB"/>
        </w:rPr>
        <w:t>Principles for publishing information</w:t>
      </w:r>
    </w:p>
    <w:p w14:paraId="4D775EFD" w14:textId="77777777" w:rsidR="00F63BC6" w:rsidRPr="008836A6" w:rsidRDefault="00F63BC6" w:rsidP="00B52C92">
      <w:pPr>
        <w:spacing w:after="0" w:line="240" w:lineRule="auto"/>
        <w:ind w:left="360"/>
        <w:rPr>
          <w:rFonts w:ascii="Arial" w:eastAsia="Times New Roman" w:hAnsi="Arial" w:cs="Arial"/>
          <w:lang w:eastAsia="en-GB"/>
        </w:rPr>
      </w:pPr>
      <w:r w:rsidRPr="008836A6">
        <w:rPr>
          <w:rFonts w:ascii="Arial" w:eastAsia="Times New Roman" w:hAnsi="Arial" w:cs="Arial"/>
          <w:color w:val="000000"/>
          <w:shd w:val="clear" w:color="auto" w:fill="FFFFFF"/>
          <w:lang w:eastAsia="en-GB"/>
        </w:rPr>
        <w:t>The following principles apply to all published information processes:</w:t>
      </w:r>
    </w:p>
    <w:p w14:paraId="7783F0A4" w14:textId="4A85F14B" w:rsidR="00F63BC6" w:rsidRPr="008836A6" w:rsidRDefault="00F63BC6" w:rsidP="00B52C92">
      <w:pPr>
        <w:numPr>
          <w:ilvl w:val="0"/>
          <w:numId w:val="2"/>
        </w:numPr>
        <w:shd w:val="clear" w:color="auto" w:fill="FFFFFF"/>
        <w:spacing w:after="0" w:line="240" w:lineRule="auto"/>
        <w:ind w:left="1080"/>
        <w:rPr>
          <w:rFonts w:ascii="Arial" w:eastAsia="Times New Roman" w:hAnsi="Arial" w:cs="Arial"/>
          <w:color w:val="000000"/>
          <w:lang w:eastAsia="en-GB"/>
        </w:rPr>
      </w:pPr>
      <w:r w:rsidRPr="008836A6">
        <w:rPr>
          <w:rFonts w:ascii="Arial" w:eastAsia="Times New Roman" w:hAnsi="Arial" w:cs="Arial"/>
          <w:b/>
          <w:bCs/>
          <w:color w:val="000000"/>
          <w:lang w:eastAsia="en-GB"/>
        </w:rPr>
        <w:t>Single sources of information</w:t>
      </w:r>
      <w:r w:rsidRPr="008836A6">
        <w:rPr>
          <w:rFonts w:ascii="Arial" w:eastAsia="Times New Roman" w:hAnsi="Arial" w:cs="Arial"/>
          <w:color w:val="000000"/>
          <w:lang w:eastAsia="en-GB"/>
        </w:rPr>
        <w:t xml:space="preserve"> will be used wherever possible. If we need to share information with our prospective or current </w:t>
      </w:r>
      <w:r w:rsidR="00D64E4D" w:rsidRPr="008836A6">
        <w:rPr>
          <w:rFonts w:ascii="Arial" w:eastAsia="Times New Roman" w:hAnsi="Arial" w:cs="Arial"/>
          <w:color w:val="000000"/>
          <w:lang w:eastAsia="en-GB"/>
        </w:rPr>
        <w:t>students,</w:t>
      </w:r>
      <w:r w:rsidRPr="008836A6">
        <w:rPr>
          <w:rFonts w:ascii="Arial" w:eastAsia="Times New Roman" w:hAnsi="Arial" w:cs="Arial"/>
          <w:color w:val="000000"/>
          <w:lang w:eastAsia="en-GB"/>
        </w:rPr>
        <w:t xml:space="preserve"> we refer to the approved source information wherever possible. We avoid re-writing or re-stating already published information. We avoid creating information sources that fall out of date without being managed.</w:t>
      </w:r>
    </w:p>
    <w:p w14:paraId="1BB3B087" w14:textId="4E3B89CA" w:rsidR="00F63BC6" w:rsidRPr="008836A6" w:rsidRDefault="00F63BC6" w:rsidP="00B52C92">
      <w:pPr>
        <w:numPr>
          <w:ilvl w:val="0"/>
          <w:numId w:val="2"/>
        </w:numPr>
        <w:shd w:val="clear" w:color="auto" w:fill="FFFFFF"/>
        <w:spacing w:after="0" w:line="240" w:lineRule="auto"/>
        <w:ind w:left="1080"/>
        <w:rPr>
          <w:rFonts w:ascii="Arial" w:eastAsia="Times New Roman" w:hAnsi="Arial" w:cs="Arial"/>
          <w:color w:val="000000"/>
          <w:lang w:eastAsia="en-GB"/>
        </w:rPr>
      </w:pPr>
      <w:r w:rsidRPr="008836A6">
        <w:rPr>
          <w:rFonts w:ascii="Arial" w:eastAsia="Times New Roman" w:hAnsi="Arial" w:cs="Arial"/>
          <w:b/>
          <w:bCs/>
          <w:color w:val="000000"/>
          <w:lang w:eastAsia="en-GB"/>
        </w:rPr>
        <w:t>We all take responsibility for checking</w:t>
      </w:r>
      <w:r w:rsidRPr="008836A6">
        <w:rPr>
          <w:rFonts w:ascii="Arial" w:eastAsia="Times New Roman" w:hAnsi="Arial" w:cs="Arial"/>
          <w:color w:val="000000"/>
          <w:lang w:eastAsia="en-GB"/>
        </w:rPr>
        <w:t xml:space="preserve"> the information we provide as part of generating published information about courses, modules and studying at </w:t>
      </w:r>
      <w:r w:rsidR="001F73AF" w:rsidRPr="008836A6">
        <w:rPr>
          <w:rFonts w:ascii="Arial" w:eastAsia="Times New Roman" w:hAnsi="Arial" w:cs="Arial"/>
          <w:color w:val="000000"/>
          <w:lang w:eastAsia="en-GB"/>
        </w:rPr>
        <w:t>Northumbria</w:t>
      </w:r>
      <w:r w:rsidRPr="008836A6">
        <w:rPr>
          <w:rFonts w:ascii="Arial" w:eastAsia="Times New Roman" w:hAnsi="Arial" w:cs="Arial"/>
          <w:color w:val="000000"/>
          <w:lang w:eastAsia="en-GB"/>
        </w:rPr>
        <w:t>. Each person involved in the process has responsibility for checking that the information they provide is consistent with the approved specifications.</w:t>
      </w:r>
    </w:p>
    <w:p w14:paraId="5787E2B7" w14:textId="209B6286" w:rsidR="00F63BC6" w:rsidRPr="008836A6" w:rsidRDefault="00F63BC6" w:rsidP="00B52C92">
      <w:pPr>
        <w:numPr>
          <w:ilvl w:val="0"/>
          <w:numId w:val="2"/>
        </w:numPr>
        <w:shd w:val="clear" w:color="auto" w:fill="FFFFFF"/>
        <w:spacing w:after="0" w:line="240" w:lineRule="auto"/>
        <w:ind w:left="1080"/>
        <w:rPr>
          <w:rFonts w:ascii="Arial" w:eastAsia="Times New Roman" w:hAnsi="Arial" w:cs="Arial"/>
          <w:color w:val="000000"/>
          <w:lang w:eastAsia="en-GB"/>
        </w:rPr>
      </w:pPr>
      <w:r w:rsidRPr="008836A6">
        <w:rPr>
          <w:rFonts w:ascii="Arial" w:eastAsia="Times New Roman" w:hAnsi="Arial" w:cs="Arial"/>
          <w:b/>
          <w:bCs/>
          <w:color w:val="000000"/>
          <w:lang w:eastAsia="en-GB"/>
        </w:rPr>
        <w:t>We clearly identify and communicate changes.</w:t>
      </w:r>
      <w:r w:rsidRPr="008836A6">
        <w:rPr>
          <w:rFonts w:ascii="Arial" w:eastAsia="Times New Roman" w:hAnsi="Arial" w:cs="Arial"/>
          <w:color w:val="000000"/>
          <w:lang w:eastAsia="en-GB"/>
        </w:rPr>
        <w:t xml:space="preserve"> When changes are made to courses, </w:t>
      </w:r>
      <w:proofErr w:type="gramStart"/>
      <w:r w:rsidRPr="008836A6">
        <w:rPr>
          <w:rFonts w:ascii="Arial" w:eastAsia="Times New Roman" w:hAnsi="Arial" w:cs="Arial"/>
          <w:color w:val="000000"/>
          <w:lang w:eastAsia="en-GB"/>
        </w:rPr>
        <w:t>modules</w:t>
      </w:r>
      <w:proofErr w:type="gramEnd"/>
      <w:r w:rsidRPr="008836A6">
        <w:rPr>
          <w:rFonts w:ascii="Arial" w:eastAsia="Times New Roman" w:hAnsi="Arial" w:cs="Arial"/>
          <w:color w:val="000000"/>
          <w:lang w:eastAsia="en-GB"/>
        </w:rPr>
        <w:t xml:space="preserve"> and other core aspects of studying at </w:t>
      </w:r>
      <w:r w:rsidR="001F73AF" w:rsidRPr="008836A6">
        <w:rPr>
          <w:rFonts w:ascii="Arial" w:eastAsia="Times New Roman" w:hAnsi="Arial" w:cs="Arial"/>
          <w:color w:val="000000"/>
          <w:lang w:eastAsia="en-GB"/>
        </w:rPr>
        <w:t>Northumbria</w:t>
      </w:r>
      <w:r w:rsidRPr="008836A6">
        <w:rPr>
          <w:rFonts w:ascii="Arial" w:eastAsia="Times New Roman" w:hAnsi="Arial" w:cs="Arial"/>
          <w:color w:val="000000"/>
          <w:lang w:eastAsia="en-GB"/>
        </w:rPr>
        <w:t>, we check whether they are material changes that should be evaluated by the Quality Assurance procedures and whether the changes should be communicated to prospective or current students.</w:t>
      </w:r>
    </w:p>
    <w:p w14:paraId="13115EC0" w14:textId="77777777" w:rsidR="00F63BC6" w:rsidRPr="00CE2F37" w:rsidRDefault="00F63BC6" w:rsidP="00BB609B">
      <w:pPr>
        <w:pStyle w:val="Heading1"/>
        <w:numPr>
          <w:ilvl w:val="1"/>
          <w:numId w:val="11"/>
        </w:numPr>
        <w:rPr>
          <w:rFonts w:ascii="Arial" w:eastAsia="Times New Roman" w:hAnsi="Arial" w:cs="Arial"/>
          <w:sz w:val="22"/>
          <w:szCs w:val="22"/>
          <w:lang w:eastAsia="en-GB"/>
        </w:rPr>
      </w:pPr>
      <w:r w:rsidRPr="00CE2F37">
        <w:rPr>
          <w:rFonts w:ascii="Arial" w:eastAsia="Times New Roman" w:hAnsi="Arial" w:cs="Arial"/>
          <w:sz w:val="22"/>
          <w:szCs w:val="22"/>
          <w:lang w:eastAsia="en-GB"/>
        </w:rPr>
        <w:t>Who is responsible for managing the accuracy of published information?</w:t>
      </w:r>
    </w:p>
    <w:p w14:paraId="4580D2D4" w14:textId="325661FB" w:rsidR="00735584" w:rsidRDefault="00735584" w:rsidP="001468C2">
      <w:pPr>
        <w:spacing w:after="0" w:line="240" w:lineRule="auto"/>
        <w:ind w:left="36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Whilst </w:t>
      </w:r>
      <w:r w:rsidR="00913767">
        <w:rPr>
          <w:rFonts w:ascii="Arial" w:eastAsia="Times New Roman" w:hAnsi="Arial" w:cs="Arial"/>
          <w:color w:val="000000"/>
          <w:shd w:val="clear" w:color="auto" w:fill="FFFFFF"/>
          <w:lang w:eastAsia="en-GB"/>
        </w:rPr>
        <w:t>the Quality in Teaching Excellence Team in</w:t>
      </w:r>
      <w:r w:rsidR="00276A97">
        <w:rPr>
          <w:rFonts w:ascii="Arial" w:eastAsia="Times New Roman" w:hAnsi="Arial" w:cs="Arial"/>
          <w:color w:val="000000"/>
          <w:shd w:val="clear" w:color="auto" w:fill="FFFFFF"/>
          <w:lang w:eastAsia="en-GB"/>
        </w:rPr>
        <w:t xml:space="preserve"> Student, Library and Academic Services (SLAS</w:t>
      </w:r>
      <w:r>
        <w:rPr>
          <w:rFonts w:ascii="Arial" w:eastAsia="Times New Roman" w:hAnsi="Arial" w:cs="Arial"/>
          <w:color w:val="000000"/>
          <w:shd w:val="clear" w:color="auto" w:fill="FFFFFF"/>
          <w:lang w:eastAsia="en-GB"/>
        </w:rPr>
        <w:t>) is responsible for ensuring University ownership and overseeing University wide compliance. In order</w:t>
      </w:r>
      <w:r w:rsidR="00D84EC5">
        <w:rPr>
          <w:rFonts w:ascii="Arial" w:eastAsia="Times New Roman" w:hAnsi="Arial" w:cs="Arial"/>
          <w:color w:val="000000"/>
          <w:shd w:val="clear" w:color="auto" w:fill="FFFFFF"/>
          <w:lang w:eastAsia="en-GB"/>
        </w:rPr>
        <w:t>,</w:t>
      </w:r>
      <w:r>
        <w:rPr>
          <w:rFonts w:ascii="Arial" w:eastAsia="Times New Roman" w:hAnsi="Arial" w:cs="Arial"/>
          <w:color w:val="000000"/>
          <w:shd w:val="clear" w:color="auto" w:fill="FFFFFF"/>
          <w:lang w:eastAsia="en-GB"/>
        </w:rPr>
        <w:t xml:space="preserve"> to </w:t>
      </w:r>
      <w:r w:rsidRPr="00F63BC6">
        <w:rPr>
          <w:rFonts w:ascii="Arial" w:eastAsia="Times New Roman" w:hAnsi="Arial" w:cs="Arial"/>
          <w:color w:val="000000"/>
          <w:shd w:val="clear" w:color="auto" w:fill="FFFFFF"/>
          <w:lang w:eastAsia="en-GB"/>
        </w:rPr>
        <w:t>ensure that institutional obligations are met</w:t>
      </w:r>
      <w:r w:rsidR="00276A97">
        <w:rPr>
          <w:rFonts w:ascii="Arial" w:eastAsia="Times New Roman" w:hAnsi="Arial" w:cs="Arial"/>
          <w:color w:val="000000"/>
          <w:shd w:val="clear" w:color="auto" w:fill="FFFFFF"/>
          <w:lang w:eastAsia="en-GB"/>
        </w:rPr>
        <w:t xml:space="preserve"> </w:t>
      </w:r>
      <w:r w:rsidRPr="00F63BC6">
        <w:rPr>
          <w:rFonts w:ascii="Arial" w:eastAsia="Times New Roman" w:hAnsi="Arial" w:cs="Arial"/>
          <w:color w:val="000000"/>
          <w:shd w:val="clear" w:color="auto" w:fill="FFFFFF"/>
          <w:lang w:eastAsia="en-GB"/>
        </w:rPr>
        <w:t xml:space="preserve">the responsibility must be shared between academic </w:t>
      </w:r>
      <w:r w:rsidRPr="00F11C99">
        <w:rPr>
          <w:rFonts w:ascii="Arial" w:eastAsia="Times New Roman" w:hAnsi="Arial" w:cs="Arial"/>
          <w:color w:val="000000"/>
          <w:shd w:val="clear" w:color="auto" w:fill="FFFFFF"/>
          <w:lang w:eastAsia="en-GB"/>
        </w:rPr>
        <w:t>departments</w:t>
      </w:r>
      <w:r w:rsidRPr="00F63BC6">
        <w:rPr>
          <w:rFonts w:ascii="Arial" w:eastAsia="Times New Roman" w:hAnsi="Arial" w:cs="Arial"/>
          <w:color w:val="000000"/>
          <w:shd w:val="clear" w:color="auto" w:fill="FFFFFF"/>
          <w:lang w:eastAsia="en-GB"/>
        </w:rPr>
        <w:t xml:space="preserve">, and </w:t>
      </w:r>
      <w:r w:rsidRPr="00F11C99">
        <w:rPr>
          <w:rFonts w:ascii="Arial" w:eastAsia="Times New Roman" w:hAnsi="Arial" w:cs="Arial"/>
          <w:color w:val="000000"/>
          <w:shd w:val="clear" w:color="auto" w:fill="FFFFFF"/>
          <w:lang w:eastAsia="en-GB"/>
        </w:rPr>
        <w:t>Global Business &amp; Marketing</w:t>
      </w:r>
    </w:p>
    <w:p w14:paraId="4328DE09" w14:textId="02789CBE" w:rsidR="009A0265" w:rsidRPr="009A0265" w:rsidRDefault="009A0265" w:rsidP="00F11C99">
      <w:pPr>
        <w:numPr>
          <w:ilvl w:val="0"/>
          <w:numId w:val="12"/>
        </w:numPr>
        <w:shd w:val="clear" w:color="auto" w:fill="FFFFFF"/>
        <w:spacing w:before="60" w:after="60" w:line="240" w:lineRule="auto"/>
        <w:ind w:left="1077" w:hanging="357"/>
        <w:rPr>
          <w:rFonts w:ascii="Arial" w:eastAsia="Times New Roman" w:hAnsi="Arial" w:cs="Arial"/>
          <w:color w:val="000000"/>
          <w:lang w:eastAsia="en-GB"/>
        </w:rPr>
      </w:pPr>
      <w:r w:rsidRPr="009A0265">
        <w:rPr>
          <w:rFonts w:ascii="Arial" w:eastAsia="Times New Roman" w:hAnsi="Arial" w:cs="Arial"/>
          <w:color w:val="000000"/>
          <w:lang w:eastAsia="en-GB"/>
        </w:rPr>
        <w:t xml:space="preserve">Pre-contractual stage (applicants): </w:t>
      </w:r>
      <w:r w:rsidR="00833851">
        <w:rPr>
          <w:rFonts w:ascii="Arial" w:eastAsia="Times New Roman" w:hAnsi="Arial" w:cs="Arial"/>
          <w:color w:val="000000"/>
          <w:lang w:eastAsia="en-GB"/>
        </w:rPr>
        <w:t>GM&amp;B</w:t>
      </w:r>
      <w:r w:rsidR="00FE2E82">
        <w:rPr>
          <w:rFonts w:ascii="Arial" w:eastAsia="Times New Roman" w:hAnsi="Arial" w:cs="Arial"/>
          <w:color w:val="000000"/>
          <w:lang w:eastAsia="en-GB"/>
        </w:rPr>
        <w:t xml:space="preserve"> for marketing content</w:t>
      </w:r>
      <w:r w:rsidR="008529B4">
        <w:rPr>
          <w:rFonts w:ascii="Arial" w:eastAsia="Times New Roman" w:hAnsi="Arial" w:cs="Arial"/>
          <w:color w:val="000000"/>
          <w:lang w:eastAsia="en-GB"/>
        </w:rPr>
        <w:t xml:space="preserve">, </w:t>
      </w:r>
      <w:proofErr w:type="gramStart"/>
      <w:r w:rsidR="008529B4">
        <w:rPr>
          <w:rFonts w:ascii="Arial" w:eastAsia="Times New Roman" w:hAnsi="Arial" w:cs="Arial"/>
          <w:color w:val="000000"/>
          <w:lang w:eastAsia="en-GB"/>
        </w:rPr>
        <w:t>fees</w:t>
      </w:r>
      <w:proofErr w:type="gramEnd"/>
      <w:r w:rsidR="008529B4">
        <w:rPr>
          <w:rFonts w:ascii="Arial" w:eastAsia="Times New Roman" w:hAnsi="Arial" w:cs="Arial"/>
          <w:color w:val="000000"/>
          <w:lang w:eastAsia="en-GB"/>
        </w:rPr>
        <w:t xml:space="preserve"> and additional costs;</w:t>
      </w:r>
      <w:r w:rsidR="00FE2E82">
        <w:rPr>
          <w:rFonts w:ascii="Arial" w:eastAsia="Times New Roman" w:hAnsi="Arial" w:cs="Arial"/>
          <w:color w:val="000000"/>
          <w:lang w:eastAsia="en-GB"/>
        </w:rPr>
        <w:t xml:space="preserve"> Academic Registry for </w:t>
      </w:r>
      <w:r w:rsidR="008529B4">
        <w:rPr>
          <w:rFonts w:ascii="Arial" w:eastAsia="Times New Roman" w:hAnsi="Arial" w:cs="Arial"/>
          <w:color w:val="000000"/>
          <w:lang w:eastAsia="en-GB"/>
        </w:rPr>
        <w:t>programme content such as name, award, duration, modules</w:t>
      </w:r>
      <w:r w:rsidR="00F444FF">
        <w:rPr>
          <w:rFonts w:ascii="Arial" w:eastAsia="Times New Roman" w:hAnsi="Arial" w:cs="Arial"/>
          <w:color w:val="000000"/>
          <w:lang w:eastAsia="en-GB"/>
        </w:rPr>
        <w:t>, assessments and learning outcomes</w:t>
      </w:r>
    </w:p>
    <w:p w14:paraId="11DADAAF" w14:textId="29683B16" w:rsidR="009A0265" w:rsidRPr="009A0265" w:rsidRDefault="009A0265" w:rsidP="00F11C99">
      <w:pPr>
        <w:numPr>
          <w:ilvl w:val="0"/>
          <w:numId w:val="12"/>
        </w:numPr>
        <w:shd w:val="clear" w:color="auto" w:fill="FFFFFF"/>
        <w:spacing w:before="60" w:after="60" w:line="240" w:lineRule="auto"/>
        <w:ind w:left="1077" w:hanging="357"/>
        <w:rPr>
          <w:rFonts w:ascii="Arial" w:eastAsia="Times New Roman" w:hAnsi="Arial" w:cs="Arial"/>
          <w:color w:val="000000"/>
          <w:lang w:eastAsia="en-GB"/>
        </w:rPr>
      </w:pPr>
      <w:r w:rsidRPr="009A0265">
        <w:rPr>
          <w:rFonts w:ascii="Arial" w:eastAsia="Times New Roman" w:hAnsi="Arial" w:cs="Arial"/>
          <w:color w:val="000000"/>
          <w:lang w:eastAsia="en-GB"/>
        </w:rPr>
        <w:t xml:space="preserve">Post-contractual stage (students): Academic </w:t>
      </w:r>
      <w:r w:rsidRPr="00F11C99">
        <w:rPr>
          <w:rFonts w:ascii="Arial" w:eastAsia="Times New Roman" w:hAnsi="Arial" w:cs="Arial"/>
          <w:color w:val="000000"/>
          <w:lang w:eastAsia="en-GB"/>
        </w:rPr>
        <w:t>Registry</w:t>
      </w:r>
      <w:r w:rsidR="00F444FF">
        <w:rPr>
          <w:rFonts w:ascii="Arial" w:eastAsia="Times New Roman" w:hAnsi="Arial" w:cs="Arial"/>
          <w:color w:val="000000"/>
          <w:lang w:eastAsia="en-GB"/>
        </w:rPr>
        <w:t xml:space="preserve"> </w:t>
      </w:r>
    </w:p>
    <w:p w14:paraId="75FF071D" w14:textId="3BD4E2CD" w:rsidR="009A0265" w:rsidRDefault="009A0265" w:rsidP="00F11C99">
      <w:pPr>
        <w:numPr>
          <w:ilvl w:val="0"/>
          <w:numId w:val="12"/>
        </w:numPr>
        <w:shd w:val="clear" w:color="auto" w:fill="FFFFFF"/>
        <w:spacing w:before="60" w:after="60" w:line="240" w:lineRule="auto"/>
        <w:ind w:left="1077" w:hanging="357"/>
        <w:rPr>
          <w:rFonts w:ascii="Arial" w:eastAsia="Times New Roman" w:hAnsi="Arial" w:cs="Arial"/>
          <w:color w:val="000000"/>
          <w:lang w:eastAsia="en-GB"/>
        </w:rPr>
      </w:pPr>
      <w:r w:rsidRPr="009A0265">
        <w:rPr>
          <w:rFonts w:ascii="Arial" w:eastAsia="Times New Roman" w:hAnsi="Arial" w:cs="Arial"/>
          <w:color w:val="000000"/>
          <w:lang w:eastAsia="en-GB"/>
        </w:rPr>
        <w:t xml:space="preserve">Regulatory changes: </w:t>
      </w:r>
      <w:r w:rsidR="006A5E99" w:rsidRPr="00A61D6D">
        <w:rPr>
          <w:rFonts w:ascii="Arial" w:eastAsia="Times New Roman" w:hAnsi="Arial" w:cs="Arial"/>
          <w:color w:val="000000"/>
          <w:lang w:eastAsia="en-GB"/>
        </w:rPr>
        <w:t>Legal Services</w:t>
      </w:r>
    </w:p>
    <w:p w14:paraId="710D9515" w14:textId="2E003880" w:rsidR="002A1574" w:rsidRPr="00CB386A" w:rsidRDefault="00723D02" w:rsidP="00F11C99">
      <w:pPr>
        <w:numPr>
          <w:ilvl w:val="0"/>
          <w:numId w:val="12"/>
        </w:numPr>
        <w:shd w:val="clear" w:color="auto" w:fill="FFFFFF"/>
        <w:spacing w:before="60" w:after="60" w:line="240" w:lineRule="auto"/>
        <w:ind w:left="1077" w:hanging="357"/>
        <w:rPr>
          <w:rFonts w:ascii="Arial" w:eastAsia="Times New Roman" w:hAnsi="Arial" w:cs="Arial"/>
          <w:color w:val="000000"/>
          <w:lang w:eastAsia="en-GB"/>
        </w:rPr>
      </w:pPr>
      <w:r w:rsidRPr="00CB386A">
        <w:rPr>
          <w:rFonts w:ascii="Arial" w:eastAsia="Times New Roman" w:hAnsi="Arial" w:cs="Arial"/>
          <w:color w:val="000000"/>
          <w:lang w:eastAsia="en-GB"/>
        </w:rPr>
        <w:lastRenderedPageBreak/>
        <w:t xml:space="preserve">Third party: </w:t>
      </w:r>
      <w:r w:rsidR="00EA2765" w:rsidRPr="00CB386A">
        <w:rPr>
          <w:rFonts w:ascii="Arial" w:eastAsia="Times New Roman" w:hAnsi="Arial" w:cs="Arial"/>
          <w:color w:val="000000"/>
          <w:lang w:eastAsia="en-GB"/>
        </w:rPr>
        <w:t>Partner is responsible for using the correct information</w:t>
      </w:r>
      <w:r w:rsidR="00CB386A" w:rsidRPr="00CB386A">
        <w:rPr>
          <w:rFonts w:ascii="Arial" w:eastAsia="Times New Roman" w:hAnsi="Arial" w:cs="Arial"/>
          <w:color w:val="000000"/>
          <w:lang w:eastAsia="en-GB"/>
        </w:rPr>
        <w:t xml:space="preserve"> provided </w:t>
      </w:r>
      <w:r w:rsidR="00333844">
        <w:rPr>
          <w:rFonts w:ascii="Arial" w:eastAsia="Times New Roman" w:hAnsi="Arial" w:cs="Arial"/>
          <w:color w:val="000000"/>
          <w:lang w:eastAsia="en-GB"/>
        </w:rPr>
        <w:t xml:space="preserve">by the </w:t>
      </w:r>
      <w:r w:rsidR="00CB386A" w:rsidRPr="00CB386A">
        <w:rPr>
          <w:rFonts w:ascii="Arial" w:eastAsia="Times New Roman" w:hAnsi="Arial" w:cs="Arial"/>
          <w:color w:val="000000"/>
          <w:lang w:eastAsia="en-GB"/>
        </w:rPr>
        <w:t>appropriate team above</w:t>
      </w:r>
    </w:p>
    <w:p w14:paraId="370FEEEB" w14:textId="77777777" w:rsidR="009A0265" w:rsidRPr="00CE2F37" w:rsidRDefault="009A0265" w:rsidP="009A0265">
      <w:pPr>
        <w:shd w:val="clear" w:color="auto" w:fill="FFFFFF"/>
        <w:spacing w:before="60" w:after="60" w:line="360" w:lineRule="atLeast"/>
        <w:ind w:left="1080"/>
        <w:rPr>
          <w:rFonts w:ascii="Arial" w:eastAsia="Times New Roman" w:hAnsi="Arial" w:cs="Arial"/>
          <w:color w:val="000000"/>
          <w:lang w:eastAsia="en-GB"/>
        </w:rPr>
      </w:pPr>
    </w:p>
    <w:p w14:paraId="2086DBE3" w14:textId="781919C8" w:rsidR="00F63BC6" w:rsidRPr="00D107AC" w:rsidRDefault="00F63BC6" w:rsidP="001468C2">
      <w:pPr>
        <w:pStyle w:val="ListParagraph"/>
        <w:numPr>
          <w:ilvl w:val="1"/>
          <w:numId w:val="11"/>
        </w:numPr>
        <w:shd w:val="clear" w:color="auto" w:fill="FFFFFF"/>
        <w:spacing w:after="150" w:line="240" w:lineRule="auto"/>
        <w:outlineLvl w:val="2"/>
        <w:rPr>
          <w:rFonts w:ascii="Arial" w:eastAsia="Times New Roman" w:hAnsi="Arial" w:cs="Arial"/>
          <w:color w:val="263566"/>
          <w:lang w:eastAsia="en-GB"/>
        </w:rPr>
      </w:pPr>
      <w:r w:rsidRPr="00D107AC">
        <w:rPr>
          <w:rFonts w:ascii="Arial" w:eastAsia="Times New Roman" w:hAnsi="Arial" w:cs="Arial"/>
          <w:color w:val="263566"/>
          <w:lang w:eastAsia="en-GB"/>
        </w:rPr>
        <w:t>Information maintenance and publishing overview</w:t>
      </w:r>
    </w:p>
    <w:p w14:paraId="5EA892FC" w14:textId="293FA05E" w:rsidR="009A0265" w:rsidRPr="00E21708" w:rsidRDefault="00665958" w:rsidP="00E21708">
      <w:pPr>
        <w:spacing w:after="0" w:line="240" w:lineRule="auto"/>
        <w:ind w:left="36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w:t>
      </w:r>
      <w:r w:rsidR="009057F8">
        <w:rPr>
          <w:rFonts w:ascii="Arial" w:eastAsia="Times New Roman" w:hAnsi="Arial" w:cs="Arial"/>
          <w:color w:val="000000"/>
          <w:shd w:val="clear" w:color="auto" w:fill="FFFFFF"/>
          <w:lang w:eastAsia="en-GB"/>
        </w:rPr>
        <w:t xml:space="preserve">able </w:t>
      </w:r>
      <w:r>
        <w:rPr>
          <w:rFonts w:ascii="Arial" w:eastAsia="Times New Roman" w:hAnsi="Arial" w:cs="Arial"/>
          <w:color w:val="000000"/>
          <w:shd w:val="clear" w:color="auto" w:fill="FFFFFF"/>
          <w:lang w:eastAsia="en-GB"/>
        </w:rPr>
        <w:t xml:space="preserve">1 </w:t>
      </w:r>
      <w:r w:rsidR="009057F8">
        <w:rPr>
          <w:rFonts w:ascii="Arial" w:eastAsia="Times New Roman" w:hAnsi="Arial" w:cs="Arial"/>
          <w:color w:val="000000"/>
          <w:shd w:val="clear" w:color="auto" w:fill="FFFFFF"/>
          <w:lang w:eastAsia="en-GB"/>
        </w:rPr>
        <w:t>in Appendix 1</w:t>
      </w:r>
      <w:r w:rsidR="00F63BC6" w:rsidRPr="00F63BC6">
        <w:rPr>
          <w:rFonts w:ascii="Arial" w:eastAsia="Times New Roman" w:hAnsi="Arial" w:cs="Arial"/>
          <w:color w:val="000000"/>
          <w:shd w:val="clear" w:color="auto" w:fill="FFFFFF"/>
          <w:lang w:eastAsia="en-GB"/>
        </w:rPr>
        <w:t xml:space="preserve"> provides an overview of the main sources of information pertinent to CMA guidance</w:t>
      </w:r>
      <w:r w:rsidR="00ED33D6">
        <w:rPr>
          <w:rFonts w:ascii="Arial" w:eastAsia="Times New Roman" w:hAnsi="Arial" w:cs="Arial"/>
          <w:color w:val="000000"/>
          <w:shd w:val="clear" w:color="auto" w:fill="FFFFFF"/>
          <w:lang w:eastAsia="en-GB"/>
        </w:rPr>
        <w:t xml:space="preserve"> for programmes</w:t>
      </w:r>
      <w:r w:rsidR="00F63BC6" w:rsidRPr="00F63BC6">
        <w:rPr>
          <w:rFonts w:ascii="Arial" w:eastAsia="Times New Roman" w:hAnsi="Arial" w:cs="Arial"/>
          <w:color w:val="000000"/>
          <w:shd w:val="clear" w:color="auto" w:fill="FFFFFF"/>
          <w:lang w:eastAsia="en-GB"/>
        </w:rPr>
        <w:t>, the systems that store the information</w:t>
      </w:r>
      <w:r w:rsidR="00333844">
        <w:rPr>
          <w:rFonts w:ascii="Arial" w:eastAsia="Times New Roman" w:hAnsi="Arial" w:cs="Arial"/>
          <w:color w:val="000000"/>
          <w:shd w:val="clear" w:color="auto" w:fill="FFFFFF"/>
          <w:lang w:eastAsia="en-GB"/>
        </w:rPr>
        <w:t>,</w:t>
      </w:r>
      <w:r w:rsidR="00F63BC6" w:rsidRPr="00F63BC6">
        <w:rPr>
          <w:rFonts w:ascii="Arial" w:eastAsia="Times New Roman" w:hAnsi="Arial" w:cs="Arial"/>
          <w:color w:val="000000"/>
          <w:shd w:val="clear" w:color="auto" w:fill="FFFFFF"/>
          <w:lang w:eastAsia="en-GB"/>
        </w:rPr>
        <w:t xml:space="preserve"> and who is responsible for drafting, </w:t>
      </w:r>
      <w:proofErr w:type="gramStart"/>
      <w:r w:rsidR="00F63BC6" w:rsidRPr="00F63BC6">
        <w:rPr>
          <w:rFonts w:ascii="Arial" w:eastAsia="Times New Roman" w:hAnsi="Arial" w:cs="Arial"/>
          <w:color w:val="000000"/>
          <w:shd w:val="clear" w:color="auto" w:fill="FFFFFF"/>
          <w:lang w:eastAsia="en-GB"/>
        </w:rPr>
        <w:t>checking</w:t>
      </w:r>
      <w:proofErr w:type="gramEnd"/>
      <w:r w:rsidR="00F63BC6" w:rsidRPr="00F63BC6">
        <w:rPr>
          <w:rFonts w:ascii="Arial" w:eastAsia="Times New Roman" w:hAnsi="Arial" w:cs="Arial"/>
          <w:color w:val="000000"/>
          <w:shd w:val="clear" w:color="auto" w:fill="FFFFFF"/>
          <w:lang w:eastAsia="en-GB"/>
        </w:rPr>
        <w:t xml:space="preserve"> and publishing the information.</w:t>
      </w:r>
    </w:p>
    <w:p w14:paraId="65ECDA7A" w14:textId="7A346501" w:rsidR="00C8404D" w:rsidRPr="00CE2F37" w:rsidRDefault="00C8404D" w:rsidP="001468C2">
      <w:pPr>
        <w:pStyle w:val="Heading1"/>
        <w:numPr>
          <w:ilvl w:val="1"/>
          <w:numId w:val="11"/>
        </w:numPr>
        <w:rPr>
          <w:rFonts w:ascii="Arial" w:eastAsia="Times New Roman" w:hAnsi="Arial" w:cs="Arial"/>
          <w:sz w:val="22"/>
          <w:szCs w:val="22"/>
          <w:lang w:eastAsia="en-GB"/>
        </w:rPr>
      </w:pPr>
      <w:r w:rsidRPr="00CE2F37">
        <w:rPr>
          <w:rFonts w:ascii="Arial" w:eastAsia="Times New Roman" w:hAnsi="Arial" w:cs="Arial"/>
          <w:sz w:val="22"/>
          <w:szCs w:val="22"/>
          <w:lang w:eastAsia="en-GB"/>
        </w:rPr>
        <w:t>Publishing comparative information such as league tables</w:t>
      </w:r>
    </w:p>
    <w:p w14:paraId="0BF09ED1" w14:textId="256747DE" w:rsidR="00F96998" w:rsidRPr="00CE2F37" w:rsidRDefault="00C8404D" w:rsidP="001468C2">
      <w:pPr>
        <w:spacing w:after="0" w:line="240" w:lineRule="auto"/>
        <w:ind w:left="360"/>
        <w:rPr>
          <w:rFonts w:ascii="Arial" w:eastAsia="Times New Roman" w:hAnsi="Arial" w:cs="Arial"/>
          <w:color w:val="000000"/>
          <w:shd w:val="clear" w:color="auto" w:fill="FFFFFF"/>
          <w:lang w:eastAsia="en-GB"/>
        </w:rPr>
      </w:pPr>
      <w:r w:rsidRPr="00F63BC6">
        <w:rPr>
          <w:rFonts w:ascii="Arial" w:eastAsia="Times New Roman" w:hAnsi="Arial" w:cs="Arial"/>
          <w:color w:val="000000"/>
          <w:shd w:val="clear" w:color="auto" w:fill="FFFFFF"/>
          <w:lang w:eastAsia="en-GB"/>
        </w:rPr>
        <w:t>There are specific rules about publishing comparative information such as league table rankings.</w:t>
      </w:r>
      <w:r w:rsidRPr="00CE2F37">
        <w:rPr>
          <w:rFonts w:ascii="Arial" w:eastAsia="Times New Roman" w:hAnsi="Arial" w:cs="Arial"/>
          <w:color w:val="000000"/>
          <w:lang w:eastAsia="en-GB"/>
        </w:rPr>
        <w:t xml:space="preserve">  </w:t>
      </w:r>
      <w:r w:rsidRPr="00F63BC6">
        <w:rPr>
          <w:rFonts w:ascii="Arial" w:eastAsia="Times New Roman" w:hAnsi="Arial" w:cs="Arial"/>
          <w:color w:val="000000"/>
          <w:shd w:val="clear" w:color="auto" w:fill="FFFFFF"/>
          <w:lang w:eastAsia="en-GB"/>
        </w:rPr>
        <w:t xml:space="preserve">The statistics we use in our materials </w:t>
      </w:r>
      <w:proofErr w:type="gramStart"/>
      <w:r w:rsidRPr="00F63BC6">
        <w:rPr>
          <w:rFonts w:ascii="Arial" w:eastAsia="Times New Roman" w:hAnsi="Arial" w:cs="Arial"/>
          <w:color w:val="000000"/>
          <w:shd w:val="clear" w:color="auto" w:fill="FFFFFF"/>
          <w:lang w:eastAsia="en-GB"/>
        </w:rPr>
        <w:t>have to</w:t>
      </w:r>
      <w:proofErr w:type="gramEnd"/>
      <w:r w:rsidRPr="00F63BC6">
        <w:rPr>
          <w:rFonts w:ascii="Arial" w:eastAsia="Times New Roman" w:hAnsi="Arial" w:cs="Arial"/>
          <w:color w:val="000000"/>
          <w:shd w:val="clear" w:color="auto" w:fill="FFFFFF"/>
          <w:lang w:eastAsia="en-GB"/>
        </w:rPr>
        <w:t xml:space="preserve"> be the most recent available, 100% accurate and taken from reliable and respected sources. </w:t>
      </w:r>
      <w:r w:rsidRPr="00CE2F37">
        <w:rPr>
          <w:rFonts w:ascii="Arial" w:eastAsia="Times New Roman" w:hAnsi="Arial" w:cs="Arial"/>
          <w:color w:val="000000"/>
          <w:shd w:val="clear" w:color="auto" w:fill="FFFFFF"/>
          <w:lang w:eastAsia="en-GB"/>
        </w:rPr>
        <w:t xml:space="preserve"> </w:t>
      </w:r>
      <w:r w:rsidRPr="00F63BC6">
        <w:rPr>
          <w:rFonts w:ascii="Arial" w:eastAsia="Times New Roman" w:hAnsi="Arial" w:cs="Arial"/>
          <w:color w:val="000000"/>
          <w:shd w:val="clear" w:color="auto" w:fill="FFFFFF"/>
          <w:lang w:eastAsia="en-GB"/>
        </w:rPr>
        <w:t>There has been consistent messaging from both the Office for Students (</w:t>
      </w:r>
      <w:proofErr w:type="spellStart"/>
      <w:r w:rsidRPr="00F63BC6">
        <w:rPr>
          <w:rFonts w:ascii="Arial" w:eastAsia="Times New Roman" w:hAnsi="Arial" w:cs="Arial"/>
          <w:color w:val="000000"/>
          <w:shd w:val="clear" w:color="auto" w:fill="FFFFFF"/>
          <w:lang w:eastAsia="en-GB"/>
        </w:rPr>
        <w:t>OfS</w:t>
      </w:r>
      <w:proofErr w:type="spellEnd"/>
      <w:r w:rsidRPr="00F63BC6">
        <w:rPr>
          <w:rFonts w:ascii="Arial" w:eastAsia="Times New Roman" w:hAnsi="Arial" w:cs="Arial"/>
          <w:color w:val="000000"/>
          <w:shd w:val="clear" w:color="auto" w:fill="FFFFFF"/>
          <w:lang w:eastAsia="en-GB"/>
        </w:rPr>
        <w:t>), CMA</w:t>
      </w:r>
      <w:r w:rsidR="004F1FE1">
        <w:rPr>
          <w:rFonts w:ascii="Arial" w:eastAsia="Times New Roman" w:hAnsi="Arial" w:cs="Arial"/>
          <w:color w:val="000000"/>
          <w:shd w:val="clear" w:color="auto" w:fill="FFFFFF"/>
          <w:lang w:eastAsia="en-GB"/>
        </w:rPr>
        <w:t>,</w:t>
      </w:r>
      <w:r w:rsidRPr="00F63BC6">
        <w:rPr>
          <w:rFonts w:ascii="Arial" w:eastAsia="Times New Roman" w:hAnsi="Arial" w:cs="Arial"/>
          <w:color w:val="000000"/>
          <w:shd w:val="clear" w:color="auto" w:fill="FFFFFF"/>
          <w:lang w:eastAsia="en-GB"/>
        </w:rPr>
        <w:t xml:space="preserve"> and the Advertising Standards Authority (ASA) warning against the production of in-house rankings based on league table data, especially when universities do not have access to the complete underlying datasets. </w:t>
      </w:r>
    </w:p>
    <w:p w14:paraId="674AD888" w14:textId="77777777" w:rsidR="00F96998" w:rsidRPr="00CE2F37" w:rsidRDefault="00F96998" w:rsidP="00F96998">
      <w:pPr>
        <w:spacing w:after="0" w:line="240" w:lineRule="auto"/>
        <w:rPr>
          <w:rFonts w:ascii="Arial" w:eastAsia="Times New Roman" w:hAnsi="Arial" w:cs="Arial"/>
          <w:color w:val="000000"/>
          <w:shd w:val="clear" w:color="auto" w:fill="FFFFFF"/>
          <w:lang w:eastAsia="en-GB"/>
        </w:rPr>
      </w:pPr>
    </w:p>
    <w:p w14:paraId="4763711F" w14:textId="61CFDDDC" w:rsidR="00C8404D" w:rsidRPr="00F63BC6" w:rsidRDefault="00C8404D" w:rsidP="001468C2">
      <w:pPr>
        <w:spacing w:after="0" w:line="240" w:lineRule="auto"/>
        <w:ind w:left="360"/>
        <w:rPr>
          <w:rFonts w:ascii="Arial" w:eastAsia="Times New Roman" w:hAnsi="Arial" w:cs="Arial"/>
          <w:lang w:eastAsia="en-GB"/>
        </w:rPr>
      </w:pPr>
      <w:r w:rsidRPr="00F63BC6">
        <w:rPr>
          <w:rFonts w:ascii="Arial" w:eastAsia="Times New Roman" w:hAnsi="Arial" w:cs="Arial"/>
          <w:color w:val="000000"/>
          <w:shd w:val="clear" w:color="auto" w:fill="FFFFFF"/>
          <w:lang w:eastAsia="en-GB"/>
        </w:rPr>
        <w:t xml:space="preserve">Therefore, the University and its academic </w:t>
      </w:r>
      <w:r w:rsidRPr="00CE2F37">
        <w:rPr>
          <w:rFonts w:ascii="Arial" w:eastAsia="Times New Roman" w:hAnsi="Arial" w:cs="Arial"/>
          <w:color w:val="000000"/>
          <w:shd w:val="clear" w:color="auto" w:fill="FFFFFF"/>
          <w:lang w:eastAsia="en-GB"/>
        </w:rPr>
        <w:t>departments</w:t>
      </w:r>
      <w:r w:rsidRPr="00F63BC6">
        <w:rPr>
          <w:rFonts w:ascii="Arial" w:eastAsia="Times New Roman" w:hAnsi="Arial" w:cs="Arial"/>
          <w:color w:val="000000"/>
          <w:shd w:val="clear" w:color="auto" w:fill="FFFFFF"/>
          <w:lang w:eastAsia="en-GB"/>
        </w:rPr>
        <w:t xml:space="preserve"> must follow the correct procedure as set out by</w:t>
      </w:r>
      <w:r w:rsidR="00C63D30">
        <w:rPr>
          <w:rFonts w:ascii="Arial" w:eastAsia="Times New Roman" w:hAnsi="Arial" w:cs="Arial"/>
          <w:color w:val="000000"/>
          <w:shd w:val="clear" w:color="auto" w:fill="FFFFFF"/>
          <w:lang w:eastAsia="en-GB"/>
        </w:rPr>
        <w:t xml:space="preserve"> </w:t>
      </w:r>
      <w:r w:rsidR="00C63D30" w:rsidRPr="009E5046">
        <w:rPr>
          <w:rFonts w:ascii="Arial" w:eastAsia="Times New Roman" w:hAnsi="Arial" w:cs="Arial"/>
          <w:color w:val="000000"/>
          <w:shd w:val="clear" w:color="auto" w:fill="FFFFFF"/>
          <w:lang w:eastAsia="en-GB"/>
        </w:rPr>
        <w:t xml:space="preserve">the Principles for </w:t>
      </w:r>
      <w:hyperlink r:id="rId15" w:history="1">
        <w:r w:rsidR="00C63D30" w:rsidRPr="002A0834">
          <w:rPr>
            <w:rStyle w:val="Hyperlink"/>
            <w:rFonts w:ascii="Arial" w:eastAsia="Times New Roman" w:hAnsi="Arial" w:cs="Arial"/>
            <w:shd w:val="clear" w:color="auto" w:fill="FFFFFF"/>
            <w:lang w:eastAsia="en-GB"/>
          </w:rPr>
          <w:t>University Key Facts and Claims</w:t>
        </w:r>
      </w:hyperlink>
      <w:r w:rsidRPr="009E5046">
        <w:rPr>
          <w:rFonts w:ascii="Arial" w:eastAsia="Times New Roman" w:hAnsi="Arial" w:cs="Arial"/>
          <w:color w:val="000000"/>
          <w:shd w:val="clear" w:color="auto" w:fill="FFFFFF"/>
          <w:lang w:eastAsia="en-GB"/>
        </w:rPr>
        <w:t xml:space="preserve"> </w:t>
      </w:r>
      <w:r w:rsidRPr="00F63BC6">
        <w:rPr>
          <w:rFonts w:ascii="Arial" w:eastAsia="Times New Roman" w:hAnsi="Arial" w:cs="Arial"/>
          <w:color w:val="000000"/>
          <w:shd w:val="clear" w:color="auto" w:fill="FFFFFF"/>
          <w:lang w:eastAsia="en-GB"/>
        </w:rPr>
        <w:t>guidance when using league table statistics in the marketing materials</w:t>
      </w:r>
      <w:r w:rsidRPr="00CE2F37">
        <w:rPr>
          <w:rFonts w:ascii="Arial" w:eastAsia="Times New Roman" w:hAnsi="Arial" w:cs="Arial"/>
          <w:color w:val="000000"/>
          <w:shd w:val="clear" w:color="auto" w:fill="FFFFFF"/>
          <w:lang w:eastAsia="en-GB"/>
        </w:rPr>
        <w:t>, including Open Day presentations</w:t>
      </w:r>
      <w:r w:rsidRPr="00F63BC6">
        <w:rPr>
          <w:rFonts w:ascii="Arial" w:eastAsia="Times New Roman" w:hAnsi="Arial" w:cs="Arial"/>
          <w:color w:val="000000"/>
          <w:shd w:val="clear" w:color="auto" w:fill="FFFFFF"/>
          <w:lang w:eastAsia="en-GB"/>
        </w:rPr>
        <w:t>.</w:t>
      </w:r>
    </w:p>
    <w:p w14:paraId="7E984FF6" w14:textId="4CF798B0" w:rsidR="00C8404D" w:rsidRPr="00CE2F37" w:rsidRDefault="00C8404D" w:rsidP="00F96998">
      <w:pPr>
        <w:spacing w:after="0" w:line="240" w:lineRule="auto"/>
        <w:rPr>
          <w:rFonts w:ascii="Arial" w:eastAsia="Times New Roman" w:hAnsi="Arial" w:cs="Arial"/>
          <w:color w:val="000000"/>
          <w:shd w:val="clear" w:color="auto" w:fill="FFFFFF"/>
          <w:lang w:eastAsia="en-GB"/>
        </w:rPr>
      </w:pPr>
    </w:p>
    <w:p w14:paraId="4A866B89" w14:textId="3D61BE69" w:rsidR="00C8404D" w:rsidRPr="00F63BC6" w:rsidRDefault="00C8404D" w:rsidP="0011315A">
      <w:pPr>
        <w:spacing w:after="0" w:line="240" w:lineRule="auto"/>
        <w:ind w:left="360"/>
        <w:rPr>
          <w:rFonts w:ascii="Arial" w:eastAsia="Times New Roman" w:hAnsi="Arial" w:cs="Arial"/>
          <w:lang w:eastAsia="en-GB"/>
        </w:rPr>
      </w:pPr>
      <w:r w:rsidRPr="00F63BC6">
        <w:rPr>
          <w:rFonts w:ascii="Arial" w:eastAsia="Times New Roman" w:hAnsi="Arial" w:cs="Arial"/>
          <w:color w:val="000000"/>
          <w:lang w:eastAsia="en-GB"/>
        </w:rPr>
        <w:br/>
      </w:r>
      <w:r w:rsidRPr="00CE2F37">
        <w:rPr>
          <w:rFonts w:ascii="Arial" w:eastAsia="Times New Roman" w:hAnsi="Arial" w:cs="Arial"/>
          <w:color w:val="000000"/>
          <w:shd w:val="clear" w:color="auto" w:fill="FFFFFF"/>
          <w:lang w:eastAsia="en-GB"/>
        </w:rPr>
        <w:t>Northumbria</w:t>
      </w:r>
      <w:r w:rsidRPr="00F63BC6">
        <w:rPr>
          <w:rFonts w:ascii="Arial" w:eastAsia="Times New Roman" w:hAnsi="Arial" w:cs="Arial"/>
          <w:color w:val="000000"/>
          <w:shd w:val="clear" w:color="auto" w:fill="FFFFFF"/>
          <w:lang w:eastAsia="en-GB"/>
        </w:rPr>
        <w:t xml:space="preserve"> statistics draw upon the following sources which are respected and have credibility with our audience:</w:t>
      </w:r>
    </w:p>
    <w:p w14:paraId="21D85238" w14:textId="77777777" w:rsidR="00C8404D" w:rsidRPr="00F63BC6" w:rsidRDefault="00C8404D"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sidRPr="00F63BC6">
        <w:rPr>
          <w:rFonts w:ascii="Arial" w:eastAsia="Times New Roman" w:hAnsi="Arial" w:cs="Arial"/>
          <w:color w:val="000000"/>
          <w:lang w:eastAsia="en-GB"/>
        </w:rPr>
        <w:t>National Student Survey</w:t>
      </w:r>
    </w:p>
    <w:p w14:paraId="02D6F3F5" w14:textId="77777777" w:rsidR="00C8404D" w:rsidRPr="00F63BC6" w:rsidRDefault="00C8404D"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sidRPr="00F63BC6">
        <w:rPr>
          <w:rFonts w:ascii="Arial" w:eastAsia="Times New Roman" w:hAnsi="Arial" w:cs="Arial"/>
          <w:color w:val="000000"/>
          <w:lang w:eastAsia="en-GB"/>
        </w:rPr>
        <w:t>The Complete University Guide</w:t>
      </w:r>
    </w:p>
    <w:p w14:paraId="0B59A7AB" w14:textId="77777777" w:rsidR="00C8404D" w:rsidRPr="00F63BC6" w:rsidRDefault="00C8404D"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sidRPr="00F63BC6">
        <w:rPr>
          <w:rFonts w:ascii="Arial" w:eastAsia="Times New Roman" w:hAnsi="Arial" w:cs="Arial"/>
          <w:color w:val="000000"/>
          <w:lang w:eastAsia="en-GB"/>
        </w:rPr>
        <w:t>The Guardian University Guide</w:t>
      </w:r>
    </w:p>
    <w:p w14:paraId="0981FE4E" w14:textId="77777777" w:rsidR="00C8404D" w:rsidRPr="00F63BC6" w:rsidRDefault="00C8404D"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sidRPr="00F63BC6">
        <w:rPr>
          <w:rFonts w:ascii="Arial" w:eastAsia="Times New Roman" w:hAnsi="Arial" w:cs="Arial"/>
          <w:color w:val="000000"/>
          <w:lang w:eastAsia="en-GB"/>
        </w:rPr>
        <w:t>The Times Good University Guide</w:t>
      </w:r>
    </w:p>
    <w:p w14:paraId="5B059CC3" w14:textId="1D0C5D30" w:rsidR="00C8404D" w:rsidRPr="00F63BC6" w:rsidRDefault="00D231C7"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Pr>
          <w:rFonts w:ascii="Arial" w:eastAsia="Times New Roman" w:hAnsi="Arial" w:cs="Arial"/>
          <w:color w:val="000000"/>
          <w:lang w:eastAsia="en-GB"/>
        </w:rPr>
        <w:t>Graduate Outcomes</w:t>
      </w:r>
    </w:p>
    <w:p w14:paraId="015BDCC2" w14:textId="77777777" w:rsidR="00C8404D" w:rsidRPr="00F63BC6" w:rsidRDefault="00C8404D" w:rsidP="00F96998">
      <w:pPr>
        <w:numPr>
          <w:ilvl w:val="0"/>
          <w:numId w:val="5"/>
        </w:numPr>
        <w:shd w:val="clear" w:color="auto" w:fill="FFFFFF"/>
        <w:spacing w:before="60" w:after="60" w:line="240" w:lineRule="auto"/>
        <w:ind w:left="1080"/>
        <w:rPr>
          <w:rFonts w:ascii="Arial" w:eastAsia="Times New Roman" w:hAnsi="Arial" w:cs="Arial"/>
          <w:color w:val="000000"/>
          <w:lang w:eastAsia="en-GB"/>
        </w:rPr>
      </w:pPr>
      <w:r w:rsidRPr="00F63BC6">
        <w:rPr>
          <w:rFonts w:ascii="Arial" w:eastAsia="Times New Roman" w:hAnsi="Arial" w:cs="Arial"/>
          <w:color w:val="000000"/>
          <w:lang w:eastAsia="en-GB"/>
        </w:rPr>
        <w:t>Research Excellence Framework (REF)</w:t>
      </w:r>
    </w:p>
    <w:p w14:paraId="792E730D" w14:textId="77777777" w:rsidR="00F96998" w:rsidRPr="00CE2F37" w:rsidRDefault="00F96998" w:rsidP="00F96998">
      <w:pPr>
        <w:shd w:val="clear" w:color="auto" w:fill="FFFFFF"/>
        <w:spacing w:after="0" w:line="240" w:lineRule="auto"/>
        <w:rPr>
          <w:rFonts w:ascii="Arial" w:eastAsia="Times New Roman" w:hAnsi="Arial" w:cs="Arial"/>
          <w:color w:val="000000"/>
          <w:shd w:val="clear" w:color="auto" w:fill="FFFFFF"/>
          <w:lang w:eastAsia="en-GB"/>
        </w:rPr>
      </w:pPr>
    </w:p>
    <w:p w14:paraId="04E8FD17" w14:textId="3234EA97" w:rsidR="00C8404D" w:rsidRPr="00F63BC6" w:rsidRDefault="00F96998" w:rsidP="0011315A">
      <w:pPr>
        <w:shd w:val="clear" w:color="auto" w:fill="FFFFFF"/>
        <w:spacing w:after="0" w:line="240" w:lineRule="auto"/>
        <w:ind w:left="360"/>
        <w:rPr>
          <w:rFonts w:ascii="Arial" w:eastAsia="Times New Roman" w:hAnsi="Arial" w:cs="Arial"/>
          <w:color w:val="000000"/>
          <w:lang w:eastAsia="en-GB"/>
        </w:rPr>
      </w:pPr>
      <w:r w:rsidRPr="00F63BC6">
        <w:rPr>
          <w:rFonts w:ascii="Arial" w:eastAsia="Times New Roman" w:hAnsi="Arial" w:cs="Arial"/>
          <w:color w:val="000000"/>
          <w:shd w:val="clear" w:color="auto" w:fill="FFFFFF"/>
          <w:lang w:eastAsia="en-GB"/>
        </w:rPr>
        <w:t xml:space="preserve">It is recommended that </w:t>
      </w:r>
      <w:r w:rsidRPr="00CE2F37">
        <w:rPr>
          <w:rFonts w:ascii="Arial" w:eastAsia="Times New Roman" w:hAnsi="Arial" w:cs="Arial"/>
          <w:color w:val="000000"/>
          <w:shd w:val="clear" w:color="auto" w:fill="FFFFFF"/>
          <w:lang w:eastAsia="en-GB"/>
        </w:rPr>
        <w:t xml:space="preserve">we avoid </w:t>
      </w:r>
      <w:r w:rsidRPr="00F63BC6">
        <w:rPr>
          <w:rFonts w:ascii="Arial" w:eastAsia="Times New Roman" w:hAnsi="Arial" w:cs="Arial"/>
          <w:color w:val="000000"/>
          <w:shd w:val="clear" w:color="auto" w:fill="FFFFFF"/>
          <w:lang w:eastAsia="en-GB"/>
        </w:rPr>
        <w:t>using other surveys, except where they cover a particular need (</w:t>
      </w:r>
      <w:r w:rsidR="00D64E4D" w:rsidRPr="00F63BC6">
        <w:rPr>
          <w:rFonts w:ascii="Arial" w:eastAsia="Times New Roman" w:hAnsi="Arial" w:cs="Arial"/>
          <w:color w:val="000000"/>
          <w:shd w:val="clear" w:color="auto" w:fill="FFFFFF"/>
          <w:lang w:eastAsia="en-GB"/>
        </w:rPr>
        <w:t>e.g.,</w:t>
      </w:r>
      <w:r w:rsidRPr="00F63BC6">
        <w:rPr>
          <w:rFonts w:ascii="Arial" w:eastAsia="Times New Roman" w:hAnsi="Arial" w:cs="Arial"/>
          <w:color w:val="000000"/>
          <w:shd w:val="clear" w:color="auto" w:fill="FFFFFF"/>
          <w:lang w:eastAsia="en-GB"/>
        </w:rPr>
        <w:t xml:space="preserve"> the National Council for the Training of Journalists is a well-respected specialist source.)</w:t>
      </w:r>
    </w:p>
    <w:p w14:paraId="70AE4D02" w14:textId="7941FEB8" w:rsidR="00F63BC6" w:rsidRPr="00F63BC6" w:rsidRDefault="00F63BC6" w:rsidP="00F63BC6">
      <w:pPr>
        <w:spacing w:after="0" w:line="240" w:lineRule="auto"/>
        <w:rPr>
          <w:rFonts w:ascii="Arial" w:eastAsia="Times New Roman" w:hAnsi="Arial" w:cs="Arial"/>
          <w:color w:val="000000"/>
          <w:sz w:val="24"/>
          <w:szCs w:val="24"/>
          <w:lang w:eastAsia="en-GB"/>
        </w:rPr>
      </w:pPr>
    </w:p>
    <w:p w14:paraId="38D21300" w14:textId="77777777" w:rsidR="00F63BC6" w:rsidRPr="00F96998" w:rsidRDefault="00F63BC6" w:rsidP="0011315A">
      <w:pPr>
        <w:pStyle w:val="Heading1"/>
        <w:numPr>
          <w:ilvl w:val="1"/>
          <w:numId w:val="11"/>
        </w:numPr>
        <w:rPr>
          <w:rFonts w:ascii="Arial" w:hAnsi="Arial" w:cs="Arial"/>
          <w:sz w:val="22"/>
          <w:szCs w:val="22"/>
        </w:rPr>
      </w:pPr>
      <w:r w:rsidRPr="00F96998">
        <w:rPr>
          <w:rFonts w:ascii="Arial" w:hAnsi="Arial" w:cs="Arial"/>
          <w:sz w:val="22"/>
          <w:szCs w:val="22"/>
        </w:rPr>
        <w:t>Governing CMA compliance</w:t>
      </w:r>
    </w:p>
    <w:p w14:paraId="74C2CEE7" w14:textId="086E2AE8" w:rsidR="00F63BC6" w:rsidRPr="007904DF" w:rsidRDefault="00F63BC6" w:rsidP="007904DF">
      <w:pPr>
        <w:ind w:left="360"/>
        <w:rPr>
          <w:rFonts w:ascii="Arial" w:hAnsi="Arial" w:cs="Arial"/>
          <w:color w:val="000000"/>
          <w:shd w:val="clear" w:color="auto" w:fill="FFFFFF"/>
        </w:rPr>
      </w:pPr>
      <w:r w:rsidRPr="00F96998">
        <w:rPr>
          <w:rFonts w:ascii="Arial" w:hAnsi="Arial" w:cs="Arial"/>
          <w:color w:val="000000"/>
          <w:shd w:val="clear" w:color="auto" w:fill="FFFFFF"/>
        </w:rPr>
        <w:t xml:space="preserve">Information management is part of the routine work of Academic </w:t>
      </w:r>
      <w:r w:rsidR="009A0265" w:rsidRPr="00F96998">
        <w:rPr>
          <w:rFonts w:ascii="Arial" w:hAnsi="Arial" w:cs="Arial"/>
          <w:color w:val="000000"/>
          <w:shd w:val="clear" w:color="auto" w:fill="FFFFFF"/>
        </w:rPr>
        <w:t xml:space="preserve">Departments, Academic Registry and </w:t>
      </w:r>
      <w:r w:rsidR="00833851">
        <w:rPr>
          <w:rFonts w:ascii="Arial" w:hAnsi="Arial" w:cs="Arial"/>
          <w:color w:val="000000"/>
          <w:shd w:val="clear" w:color="auto" w:fill="FFFFFF"/>
        </w:rPr>
        <w:t>GM&amp;B</w:t>
      </w:r>
      <w:r w:rsidR="009A0265" w:rsidRPr="00F96998">
        <w:rPr>
          <w:rFonts w:ascii="Arial" w:hAnsi="Arial" w:cs="Arial"/>
          <w:color w:val="000000"/>
          <w:shd w:val="clear" w:color="auto" w:fill="FFFFFF"/>
        </w:rPr>
        <w:t>.</w:t>
      </w:r>
      <w:r w:rsidRPr="00F96998">
        <w:rPr>
          <w:rFonts w:ascii="Arial" w:hAnsi="Arial" w:cs="Arial"/>
          <w:color w:val="000000"/>
        </w:rPr>
        <w:br/>
      </w:r>
      <w:r w:rsidRPr="00F96998">
        <w:rPr>
          <w:rFonts w:ascii="Arial" w:hAnsi="Arial" w:cs="Arial"/>
          <w:color w:val="000000"/>
        </w:rPr>
        <w:br/>
      </w:r>
      <w:r w:rsidRPr="00500C1C">
        <w:rPr>
          <w:rFonts w:ascii="Arial" w:hAnsi="Arial" w:cs="Arial"/>
          <w:color w:val="000000"/>
          <w:shd w:val="clear" w:color="auto" w:fill="FFFFFF"/>
        </w:rPr>
        <w:t>Oversight of information management</w:t>
      </w:r>
      <w:r w:rsidR="005512A9">
        <w:rPr>
          <w:rFonts w:ascii="Arial" w:hAnsi="Arial" w:cs="Arial"/>
          <w:color w:val="000000"/>
          <w:shd w:val="clear" w:color="auto" w:fill="FFFFFF"/>
        </w:rPr>
        <w:t xml:space="preserve"> Quality in Teaching Excellence Team</w:t>
      </w:r>
      <w:r w:rsidR="0008770D">
        <w:rPr>
          <w:rFonts w:ascii="Arial" w:hAnsi="Arial" w:cs="Arial"/>
          <w:color w:val="000000"/>
          <w:shd w:val="clear" w:color="auto" w:fill="FFFFFF"/>
        </w:rPr>
        <w:t xml:space="preserve"> (SLAS)</w:t>
      </w:r>
      <w:r w:rsidR="005512A9">
        <w:rPr>
          <w:rFonts w:ascii="Arial" w:hAnsi="Arial" w:cs="Arial"/>
          <w:color w:val="000000"/>
          <w:shd w:val="clear" w:color="auto" w:fill="FFFFFF"/>
        </w:rPr>
        <w:t xml:space="preserve"> </w:t>
      </w:r>
      <w:r w:rsidRPr="00F96998">
        <w:rPr>
          <w:rFonts w:ascii="Arial" w:hAnsi="Arial" w:cs="Arial"/>
          <w:color w:val="000000"/>
          <w:shd w:val="clear" w:color="auto" w:fill="FFFFFF"/>
        </w:rPr>
        <w:t xml:space="preserve">CMA related issues that are not readily resolved through routine operations should be escalated to the </w:t>
      </w:r>
      <w:r w:rsidR="00FC1996">
        <w:rPr>
          <w:rFonts w:ascii="Arial" w:hAnsi="Arial" w:cs="Arial"/>
          <w:color w:val="000000"/>
          <w:shd w:val="clear" w:color="auto" w:fill="FFFFFF"/>
        </w:rPr>
        <w:t xml:space="preserve">Academic Registrar, Director </w:t>
      </w:r>
      <w:proofErr w:type="gramStart"/>
      <w:r w:rsidR="00FC1996">
        <w:rPr>
          <w:rFonts w:ascii="Arial" w:hAnsi="Arial" w:cs="Arial"/>
          <w:color w:val="000000"/>
          <w:shd w:val="clear" w:color="auto" w:fill="FFFFFF"/>
        </w:rPr>
        <w:t xml:space="preserve">of </w:t>
      </w:r>
      <w:r w:rsidR="00A00046">
        <w:rPr>
          <w:rFonts w:ascii="Arial" w:hAnsi="Arial" w:cs="Arial"/>
          <w:color w:val="000000"/>
          <w:shd w:val="clear" w:color="auto" w:fill="FFFFFF"/>
        </w:rPr>
        <w:t xml:space="preserve"> SLAS</w:t>
      </w:r>
      <w:proofErr w:type="gramEnd"/>
      <w:r w:rsidR="00A00046">
        <w:rPr>
          <w:rFonts w:ascii="Arial" w:hAnsi="Arial" w:cs="Arial"/>
          <w:color w:val="000000"/>
          <w:shd w:val="clear" w:color="auto" w:fill="FFFFFF"/>
        </w:rPr>
        <w:t xml:space="preserve">  </w:t>
      </w:r>
      <w:r w:rsidRPr="00F96998">
        <w:rPr>
          <w:rFonts w:ascii="Arial" w:hAnsi="Arial" w:cs="Arial"/>
          <w:color w:val="000000"/>
          <w:shd w:val="clear" w:color="auto" w:fill="FFFFFF"/>
        </w:rPr>
        <w:t>through usual management routes</w:t>
      </w:r>
      <w:r w:rsidR="009A0265" w:rsidRPr="00F96998">
        <w:rPr>
          <w:rFonts w:ascii="Arial" w:hAnsi="Arial" w:cs="Arial"/>
          <w:color w:val="000000"/>
          <w:shd w:val="clear" w:color="auto" w:fill="FFFFFF"/>
        </w:rPr>
        <w:t>.</w:t>
      </w:r>
    </w:p>
    <w:p w14:paraId="037571E6" w14:textId="6620807E" w:rsidR="00F96998" w:rsidRPr="00F96998" w:rsidRDefault="00F96998" w:rsidP="00F96998">
      <w:pPr>
        <w:pStyle w:val="Heading1"/>
        <w:numPr>
          <w:ilvl w:val="0"/>
          <w:numId w:val="11"/>
        </w:numPr>
        <w:rPr>
          <w:rFonts w:ascii="Arial" w:hAnsi="Arial" w:cs="Arial"/>
          <w:sz w:val="22"/>
          <w:szCs w:val="22"/>
        </w:rPr>
      </w:pPr>
      <w:r w:rsidRPr="00F96998">
        <w:rPr>
          <w:rFonts w:ascii="Arial" w:hAnsi="Arial" w:cs="Arial"/>
          <w:sz w:val="22"/>
          <w:szCs w:val="22"/>
        </w:rPr>
        <w:t>Material Information</w:t>
      </w:r>
      <w:r w:rsidR="0011315A">
        <w:rPr>
          <w:rFonts w:ascii="Arial" w:hAnsi="Arial" w:cs="Arial"/>
          <w:sz w:val="22"/>
          <w:szCs w:val="22"/>
        </w:rPr>
        <w:t xml:space="preserve"> </w:t>
      </w:r>
    </w:p>
    <w:p w14:paraId="237C7605" w14:textId="62A384E0" w:rsidR="007904DF" w:rsidRDefault="00F96998" w:rsidP="001056E8">
      <w:pPr>
        <w:pStyle w:val="NormalWeb"/>
        <w:shd w:val="clear" w:color="auto" w:fill="FFFFFF"/>
        <w:spacing w:before="0" w:beforeAutospacing="0" w:after="480" w:afterAutospacing="0"/>
        <w:ind w:left="360"/>
        <w:contextualSpacing/>
        <w:rPr>
          <w:rFonts w:ascii="Arial" w:hAnsi="Arial" w:cs="Arial"/>
          <w:color w:val="000000"/>
          <w:sz w:val="22"/>
          <w:szCs w:val="22"/>
        </w:rPr>
      </w:pPr>
      <w:r w:rsidRPr="00F96998">
        <w:rPr>
          <w:rFonts w:ascii="Arial" w:hAnsi="Arial" w:cs="Arial"/>
          <w:color w:val="000000"/>
          <w:sz w:val="22"/>
          <w:szCs w:val="22"/>
        </w:rPr>
        <w:t>The University must provide prospective students with important information</w:t>
      </w:r>
      <w:r>
        <w:rPr>
          <w:rFonts w:ascii="Arial" w:hAnsi="Arial" w:cs="Arial"/>
          <w:color w:val="000000"/>
          <w:sz w:val="22"/>
          <w:szCs w:val="22"/>
        </w:rPr>
        <w:t xml:space="preserve">, </w:t>
      </w:r>
      <w:r w:rsidRPr="00F96998">
        <w:rPr>
          <w:rFonts w:ascii="Arial" w:hAnsi="Arial" w:cs="Arial"/>
          <w:color w:val="000000"/>
          <w:sz w:val="22"/>
          <w:szCs w:val="22"/>
        </w:rPr>
        <w:t>known as ‘material information’, for example about its programmes and their costs, at each stage of our dealings with them, including at the research and application, offer and enrolment stages.</w:t>
      </w:r>
    </w:p>
    <w:p w14:paraId="362D7B9D" w14:textId="77777777" w:rsidR="007904DF" w:rsidRDefault="007904DF" w:rsidP="007904DF">
      <w:pPr>
        <w:pStyle w:val="NormalWeb"/>
        <w:shd w:val="clear" w:color="auto" w:fill="FFFFFF"/>
        <w:spacing w:before="0" w:beforeAutospacing="0" w:after="480" w:afterAutospacing="0"/>
        <w:contextualSpacing/>
        <w:rPr>
          <w:rFonts w:ascii="Arial" w:hAnsi="Arial" w:cs="Arial"/>
          <w:color w:val="000000"/>
          <w:sz w:val="22"/>
          <w:szCs w:val="22"/>
        </w:rPr>
      </w:pPr>
    </w:p>
    <w:p w14:paraId="7B354978" w14:textId="710B99D8" w:rsidR="00F96998" w:rsidRDefault="00F96998" w:rsidP="001056E8">
      <w:pPr>
        <w:pStyle w:val="NormalWeb"/>
        <w:shd w:val="clear" w:color="auto" w:fill="FFFFFF"/>
        <w:spacing w:before="0" w:beforeAutospacing="0" w:after="480" w:afterAutospacing="0"/>
        <w:ind w:left="360"/>
        <w:contextualSpacing/>
        <w:rPr>
          <w:rFonts w:ascii="Arial" w:hAnsi="Arial" w:cs="Arial"/>
          <w:color w:val="000000"/>
          <w:sz w:val="22"/>
          <w:szCs w:val="22"/>
        </w:rPr>
      </w:pPr>
      <w:r>
        <w:rPr>
          <w:rFonts w:ascii="Arial" w:hAnsi="Arial" w:cs="Arial"/>
          <w:color w:val="000000"/>
          <w:sz w:val="22"/>
          <w:szCs w:val="22"/>
        </w:rPr>
        <w:t>If a change is made whilst a student is on programme</w:t>
      </w:r>
      <w:r w:rsidR="00196549">
        <w:rPr>
          <w:rFonts w:ascii="Arial" w:hAnsi="Arial" w:cs="Arial"/>
          <w:color w:val="000000"/>
          <w:sz w:val="22"/>
          <w:szCs w:val="22"/>
        </w:rPr>
        <w:t>,</w:t>
      </w:r>
      <w:r w:rsidR="004B336F">
        <w:rPr>
          <w:rFonts w:ascii="Arial" w:hAnsi="Arial" w:cs="Arial"/>
          <w:color w:val="000000"/>
          <w:sz w:val="22"/>
          <w:szCs w:val="22"/>
        </w:rPr>
        <w:t xml:space="preserve"> a </w:t>
      </w:r>
      <w:r w:rsidR="004B336F" w:rsidRPr="00755BD7">
        <w:rPr>
          <w:rFonts w:ascii="Arial" w:hAnsi="Arial" w:cs="Arial"/>
          <w:color w:val="000000"/>
          <w:sz w:val="22"/>
          <w:szCs w:val="22"/>
        </w:rPr>
        <w:t>consultation process</w:t>
      </w:r>
      <w:r w:rsidR="004B336F">
        <w:rPr>
          <w:rFonts w:ascii="Arial" w:hAnsi="Arial" w:cs="Arial"/>
          <w:color w:val="000000"/>
          <w:sz w:val="22"/>
          <w:szCs w:val="22"/>
        </w:rPr>
        <w:t xml:space="preserve"> must be followed</w:t>
      </w:r>
      <w:r>
        <w:rPr>
          <w:rFonts w:ascii="Arial" w:hAnsi="Arial" w:cs="Arial"/>
          <w:color w:val="000000"/>
          <w:sz w:val="22"/>
          <w:szCs w:val="22"/>
        </w:rPr>
        <w:t>, see</w:t>
      </w:r>
      <w:r w:rsidR="00501FA9">
        <w:rPr>
          <w:rFonts w:ascii="Arial" w:hAnsi="Arial" w:cs="Arial"/>
          <w:color w:val="000000"/>
          <w:sz w:val="22"/>
          <w:szCs w:val="22"/>
        </w:rPr>
        <w:t xml:space="preserve"> Communication </w:t>
      </w:r>
      <w:r w:rsidR="00823DC5">
        <w:rPr>
          <w:rFonts w:ascii="Arial" w:hAnsi="Arial" w:cs="Arial"/>
          <w:color w:val="000000"/>
          <w:sz w:val="22"/>
          <w:szCs w:val="22"/>
        </w:rPr>
        <w:t>S</w:t>
      </w:r>
      <w:r w:rsidR="00501FA9">
        <w:rPr>
          <w:rFonts w:ascii="Arial" w:hAnsi="Arial" w:cs="Arial"/>
          <w:color w:val="000000"/>
          <w:sz w:val="22"/>
          <w:szCs w:val="22"/>
        </w:rPr>
        <w:t xml:space="preserve">ummary </w:t>
      </w:r>
      <w:r w:rsidR="00823DC5">
        <w:rPr>
          <w:rFonts w:ascii="Arial" w:hAnsi="Arial" w:cs="Arial"/>
          <w:color w:val="000000"/>
          <w:sz w:val="22"/>
          <w:szCs w:val="22"/>
        </w:rPr>
        <w:t>T</w:t>
      </w:r>
      <w:r w:rsidR="00501FA9">
        <w:rPr>
          <w:rFonts w:ascii="Arial" w:hAnsi="Arial" w:cs="Arial"/>
          <w:color w:val="000000"/>
          <w:sz w:val="22"/>
          <w:szCs w:val="22"/>
        </w:rPr>
        <w:t xml:space="preserve">emplate </w:t>
      </w:r>
      <w:r>
        <w:rPr>
          <w:rFonts w:ascii="Arial" w:hAnsi="Arial" w:cs="Arial"/>
          <w:color w:val="000000"/>
          <w:sz w:val="22"/>
          <w:szCs w:val="22"/>
        </w:rPr>
        <w:t>for further information</w:t>
      </w:r>
      <w:r w:rsidR="00CF2176">
        <w:rPr>
          <w:rFonts w:ascii="Arial" w:hAnsi="Arial" w:cs="Arial"/>
          <w:color w:val="000000"/>
          <w:sz w:val="22"/>
          <w:szCs w:val="22"/>
        </w:rPr>
        <w:t>.</w:t>
      </w:r>
    </w:p>
    <w:p w14:paraId="3E07AE9F" w14:textId="77777777" w:rsidR="007904DF" w:rsidRDefault="007904DF" w:rsidP="007904DF">
      <w:pPr>
        <w:pStyle w:val="NormalWeb"/>
        <w:shd w:val="clear" w:color="auto" w:fill="FFFFFF"/>
        <w:spacing w:before="0" w:beforeAutospacing="0" w:after="480" w:afterAutospacing="0"/>
        <w:contextualSpacing/>
        <w:rPr>
          <w:rFonts w:ascii="Arial" w:hAnsi="Arial" w:cs="Arial"/>
          <w:color w:val="000000"/>
          <w:sz w:val="22"/>
          <w:szCs w:val="22"/>
        </w:rPr>
      </w:pPr>
    </w:p>
    <w:p w14:paraId="3D713FDE" w14:textId="29643976" w:rsidR="00F63BC6" w:rsidRPr="00846E12" w:rsidRDefault="00CF2176" w:rsidP="001056E8">
      <w:pPr>
        <w:pStyle w:val="NormalWeb"/>
        <w:shd w:val="clear" w:color="auto" w:fill="FFFFFF"/>
        <w:spacing w:before="0" w:beforeAutospacing="0" w:after="480" w:afterAutospacing="0"/>
        <w:ind w:left="360"/>
        <w:contextualSpacing/>
        <w:rPr>
          <w:rFonts w:ascii="Arial" w:hAnsi="Arial" w:cs="Arial"/>
          <w:color w:val="000000"/>
          <w:sz w:val="22"/>
          <w:szCs w:val="22"/>
        </w:rPr>
      </w:pPr>
      <w:r>
        <w:rPr>
          <w:rFonts w:ascii="Arial" w:hAnsi="Arial" w:cs="Arial"/>
          <w:color w:val="000000"/>
          <w:sz w:val="22"/>
          <w:szCs w:val="22"/>
        </w:rPr>
        <w:t>Appendix 1 provides</w:t>
      </w:r>
      <w:r w:rsidR="00011626">
        <w:rPr>
          <w:rFonts w:ascii="Arial" w:hAnsi="Arial" w:cs="Arial"/>
          <w:color w:val="000000"/>
          <w:sz w:val="22"/>
          <w:szCs w:val="22"/>
        </w:rPr>
        <w:t xml:space="preserve"> detail of material information, what requires approval and/or communication to applicants and students.</w:t>
      </w:r>
    </w:p>
    <w:p w14:paraId="3F23CE0A" w14:textId="285B5ECA" w:rsidR="007418E8" w:rsidRPr="00074726" w:rsidRDefault="00D06B6F" w:rsidP="00074726">
      <w:pPr>
        <w:pStyle w:val="Heading1"/>
        <w:numPr>
          <w:ilvl w:val="0"/>
          <w:numId w:val="11"/>
        </w:numPr>
        <w:spacing w:line="240" w:lineRule="auto"/>
        <w:contextualSpacing/>
        <w:rPr>
          <w:rFonts w:ascii="Arial" w:hAnsi="Arial" w:cs="Arial"/>
          <w:sz w:val="22"/>
          <w:szCs w:val="22"/>
        </w:rPr>
      </w:pPr>
      <w:r w:rsidRPr="00EA7283">
        <w:rPr>
          <w:rFonts w:ascii="Arial" w:hAnsi="Arial" w:cs="Arial"/>
          <w:sz w:val="22"/>
          <w:szCs w:val="22"/>
        </w:rPr>
        <w:t>Material changes</w:t>
      </w:r>
    </w:p>
    <w:p w14:paraId="35BCC736" w14:textId="1A9F9CD3" w:rsidR="00734F6C" w:rsidRPr="00EA7283" w:rsidRDefault="00734F6C" w:rsidP="00846E12">
      <w:pPr>
        <w:spacing w:line="240" w:lineRule="auto"/>
        <w:ind w:left="360"/>
        <w:contextualSpacing/>
        <w:rPr>
          <w:rFonts w:ascii="Arial" w:hAnsi="Arial" w:cs="Arial"/>
          <w:color w:val="000000"/>
          <w:shd w:val="clear" w:color="auto" w:fill="FFFFFF"/>
        </w:rPr>
      </w:pPr>
      <w:r w:rsidRPr="00EA7283">
        <w:rPr>
          <w:rStyle w:val="Strong"/>
          <w:rFonts w:ascii="Arial" w:hAnsi="Arial" w:cs="Arial"/>
          <w:color w:val="000000"/>
          <w:shd w:val="clear" w:color="auto" w:fill="FFFFFF"/>
        </w:rPr>
        <w:t>Material change</w:t>
      </w:r>
      <w:r w:rsidRPr="00EA7283">
        <w:rPr>
          <w:rFonts w:ascii="Arial" w:hAnsi="Arial" w:cs="Arial"/>
          <w:color w:val="000000"/>
          <w:shd w:val="clear" w:color="auto" w:fill="FFFFFF"/>
        </w:rPr>
        <w:t xml:space="preserve"> is the term used by the Competition and Markets Authority (CMA) for a change to the important information (‘the material information’) provided by Northumbria about a </w:t>
      </w:r>
      <w:r w:rsidR="00E527B8" w:rsidRPr="00EA7283">
        <w:rPr>
          <w:rFonts w:ascii="Arial" w:hAnsi="Arial" w:cs="Arial"/>
          <w:color w:val="000000"/>
          <w:shd w:val="clear" w:color="auto" w:fill="FFFFFF"/>
        </w:rPr>
        <w:t>programme and</w:t>
      </w:r>
      <w:r w:rsidRPr="00EA7283">
        <w:rPr>
          <w:rFonts w:ascii="Arial" w:hAnsi="Arial" w:cs="Arial"/>
          <w:color w:val="000000"/>
          <w:shd w:val="clear" w:color="auto" w:fill="FFFFFF"/>
        </w:rPr>
        <w:t xml:space="preserve"> the University that might affect an applicant’s choice when making an informed decision about what and where to study. </w:t>
      </w:r>
    </w:p>
    <w:p w14:paraId="263341DA" w14:textId="6DE36864" w:rsidR="00734F6C" w:rsidRDefault="00734F6C" w:rsidP="00846E12">
      <w:pPr>
        <w:spacing w:line="240" w:lineRule="auto"/>
        <w:ind w:left="360"/>
        <w:contextualSpacing/>
        <w:rPr>
          <w:rFonts w:ascii="Arial" w:hAnsi="Arial" w:cs="Arial"/>
          <w:color w:val="000000"/>
          <w:shd w:val="clear" w:color="auto" w:fill="FFFFFF"/>
        </w:rPr>
      </w:pPr>
      <w:r w:rsidRPr="00EA7283">
        <w:rPr>
          <w:rFonts w:ascii="Arial" w:hAnsi="Arial" w:cs="Arial"/>
          <w:color w:val="000000"/>
        </w:rPr>
        <w:br/>
      </w:r>
      <w:r w:rsidRPr="00EA7283">
        <w:rPr>
          <w:rFonts w:ascii="Arial" w:hAnsi="Arial" w:cs="Arial"/>
          <w:color w:val="000000"/>
          <w:shd w:val="clear" w:color="auto" w:fill="FFFFFF"/>
        </w:rPr>
        <w:t xml:space="preserve">While it is important that students receive what they expected after deciding which programme to study, this does not rule out all changes to the programme offer. CMA legislation allows the University to </w:t>
      </w:r>
      <w:proofErr w:type="gramStart"/>
      <w:r w:rsidRPr="00EA7283">
        <w:rPr>
          <w:rFonts w:ascii="Arial" w:hAnsi="Arial" w:cs="Arial"/>
          <w:color w:val="000000"/>
          <w:shd w:val="clear" w:color="auto" w:fill="FFFFFF"/>
        </w:rPr>
        <w:t>make adjustments</w:t>
      </w:r>
      <w:proofErr w:type="gramEnd"/>
      <w:r w:rsidRPr="00EA7283">
        <w:rPr>
          <w:rFonts w:ascii="Arial" w:hAnsi="Arial" w:cs="Arial"/>
          <w:color w:val="000000"/>
          <w:shd w:val="clear" w:color="auto" w:fill="FFFFFF"/>
        </w:rPr>
        <w:t>, for example, that may be necessary to reflect changes to the theory in an area of research or practices around the subject or its delivery. Material changes are more likely to be considered fair under CMA legislation if they are restricted to minor adjustments that are unlikely to negatively impact students, are driven by developments in the field of study or its delivery, or are changes required by necessity (</w:t>
      </w:r>
      <w:proofErr w:type="gramStart"/>
      <w:r w:rsidR="00490AA7" w:rsidRPr="00EA7283">
        <w:rPr>
          <w:rFonts w:ascii="Arial" w:hAnsi="Arial" w:cs="Arial"/>
          <w:color w:val="000000"/>
          <w:shd w:val="clear" w:color="auto" w:fill="FFFFFF"/>
        </w:rPr>
        <w:t>e.g.</w:t>
      </w:r>
      <w:proofErr w:type="gramEnd"/>
      <w:r w:rsidRPr="00EA7283">
        <w:rPr>
          <w:rFonts w:ascii="Arial" w:hAnsi="Arial" w:cs="Arial"/>
          <w:color w:val="000000"/>
          <w:shd w:val="clear" w:color="auto" w:fill="FFFFFF"/>
        </w:rPr>
        <w:t xml:space="preserve"> due to accreditation requirements).</w:t>
      </w:r>
      <w:r w:rsidRPr="00EA7283">
        <w:rPr>
          <w:rFonts w:ascii="Arial" w:hAnsi="Arial" w:cs="Arial"/>
          <w:color w:val="000000"/>
        </w:rPr>
        <w:br/>
      </w:r>
      <w:r w:rsidRPr="00EA7283">
        <w:rPr>
          <w:rFonts w:ascii="Arial" w:hAnsi="Arial" w:cs="Arial"/>
          <w:color w:val="000000"/>
        </w:rPr>
        <w:br/>
      </w:r>
      <w:r w:rsidRPr="00EA7283">
        <w:rPr>
          <w:rFonts w:ascii="Arial" w:hAnsi="Arial" w:cs="Arial"/>
          <w:color w:val="000000"/>
          <w:shd w:val="clear" w:color="auto" w:fill="FFFFFF"/>
        </w:rPr>
        <w:t xml:space="preserve">Applicants need to be notified of the proposed changes </w:t>
      </w:r>
      <w:r w:rsidR="00F76B2A" w:rsidRPr="00EA7283">
        <w:rPr>
          <w:rFonts w:ascii="Arial" w:hAnsi="Arial" w:cs="Arial"/>
          <w:color w:val="000000"/>
          <w:shd w:val="clear" w:color="auto" w:fill="FFFFFF"/>
        </w:rPr>
        <w:t xml:space="preserve">in advance </w:t>
      </w:r>
      <w:r w:rsidR="00F76B2A">
        <w:rPr>
          <w:rFonts w:ascii="Arial" w:hAnsi="Arial" w:cs="Arial"/>
          <w:color w:val="000000"/>
          <w:shd w:val="clear" w:color="auto" w:fill="FFFFFF"/>
        </w:rPr>
        <w:t>of enrolment, together with</w:t>
      </w:r>
      <w:r w:rsidR="00F76B2A" w:rsidRPr="00EA7283">
        <w:rPr>
          <w:rFonts w:ascii="Arial" w:hAnsi="Arial" w:cs="Arial"/>
          <w:color w:val="000000"/>
          <w:shd w:val="clear" w:color="auto" w:fill="FFFFFF"/>
        </w:rPr>
        <w:t xml:space="preserve"> </w:t>
      </w:r>
      <w:r w:rsidRPr="00EA7283">
        <w:rPr>
          <w:rFonts w:ascii="Arial" w:hAnsi="Arial" w:cs="Arial"/>
          <w:color w:val="000000"/>
          <w:shd w:val="clear" w:color="auto" w:fill="FFFFFF"/>
        </w:rPr>
        <w:t xml:space="preserve">the reasons why they are necessary. </w:t>
      </w:r>
    </w:p>
    <w:p w14:paraId="39E2A6F3" w14:textId="77777777" w:rsidR="00551221" w:rsidRPr="00EA7283" w:rsidRDefault="00551221" w:rsidP="00846E12">
      <w:pPr>
        <w:spacing w:line="240" w:lineRule="auto"/>
        <w:ind w:left="360"/>
        <w:contextualSpacing/>
        <w:rPr>
          <w:rFonts w:ascii="Arial" w:hAnsi="Arial" w:cs="Arial"/>
          <w:color w:val="000000"/>
          <w:shd w:val="clear" w:color="auto" w:fill="FFFFFF"/>
        </w:rPr>
      </w:pPr>
    </w:p>
    <w:p w14:paraId="5C3F8739" w14:textId="77777777" w:rsidR="00FB2947" w:rsidRDefault="00734F6C" w:rsidP="00643518">
      <w:pPr>
        <w:spacing w:line="240" w:lineRule="auto"/>
        <w:ind w:left="360"/>
        <w:contextualSpacing/>
        <w:rPr>
          <w:rFonts w:ascii="Arial" w:hAnsi="Arial" w:cs="Arial"/>
          <w:color w:val="000000"/>
          <w:shd w:val="clear" w:color="auto" w:fill="FFFFFF"/>
        </w:rPr>
      </w:pPr>
      <w:r w:rsidRPr="00EA7283">
        <w:rPr>
          <w:rFonts w:ascii="Arial" w:hAnsi="Arial" w:cs="Arial"/>
          <w:color w:val="000000"/>
          <w:shd w:val="clear" w:color="auto" w:fill="FFFFFF"/>
        </w:rPr>
        <w:t xml:space="preserve">Student views on changes to curricula or its delivery or assessment must be gained in advance through </w:t>
      </w:r>
      <w:r w:rsidRPr="00755BD7">
        <w:rPr>
          <w:rFonts w:ascii="Arial" w:hAnsi="Arial" w:cs="Arial"/>
          <w:color w:val="000000"/>
          <w:shd w:val="clear" w:color="auto" w:fill="FFFFFF"/>
        </w:rPr>
        <w:t>consultation a</w:t>
      </w:r>
      <w:r w:rsidRPr="00EA7283">
        <w:rPr>
          <w:rFonts w:ascii="Arial" w:hAnsi="Arial" w:cs="Arial"/>
          <w:color w:val="000000"/>
          <w:shd w:val="clear" w:color="auto" w:fill="FFFFFF"/>
        </w:rPr>
        <w:t xml:space="preserve">t meetings convened specifically for this purpose. The implementation of such changes </w:t>
      </w:r>
      <w:proofErr w:type="gramStart"/>
      <w:r w:rsidRPr="00EA7283">
        <w:rPr>
          <w:rFonts w:ascii="Arial" w:hAnsi="Arial" w:cs="Arial"/>
          <w:color w:val="000000"/>
          <w:shd w:val="clear" w:color="auto" w:fill="FFFFFF"/>
        </w:rPr>
        <w:t>are</w:t>
      </w:r>
      <w:proofErr w:type="gramEnd"/>
      <w:r w:rsidRPr="00EA7283">
        <w:rPr>
          <w:rFonts w:ascii="Arial" w:hAnsi="Arial" w:cs="Arial"/>
          <w:color w:val="000000"/>
          <w:shd w:val="clear" w:color="auto" w:fill="FFFFFF"/>
        </w:rPr>
        <w:t xml:space="preserve"> likely to be considered fair where the representative student body for the affected programme understands the rationale for the change in question and is supportive of it going forward. Evidence of this </w:t>
      </w:r>
      <w:r w:rsidRPr="00755BD7">
        <w:rPr>
          <w:rFonts w:ascii="Arial" w:hAnsi="Arial" w:cs="Arial"/>
          <w:color w:val="000000"/>
          <w:shd w:val="clear" w:color="auto" w:fill="FFFFFF"/>
        </w:rPr>
        <w:t>consultation w</w:t>
      </w:r>
      <w:r w:rsidRPr="00EA7283">
        <w:rPr>
          <w:rFonts w:ascii="Arial" w:hAnsi="Arial" w:cs="Arial"/>
          <w:color w:val="000000"/>
          <w:shd w:val="clear" w:color="auto" w:fill="FFFFFF"/>
        </w:rPr>
        <w:t>ill be required where programme or module approval of the changes is necessary.</w:t>
      </w:r>
      <w:r w:rsidR="004B336F">
        <w:rPr>
          <w:rFonts w:ascii="Arial" w:hAnsi="Arial" w:cs="Arial"/>
          <w:color w:val="000000"/>
          <w:shd w:val="clear" w:color="auto" w:fill="FFFFFF"/>
        </w:rPr>
        <w:t xml:space="preserve">  See </w:t>
      </w:r>
      <w:r w:rsidR="0063015B">
        <w:rPr>
          <w:rFonts w:ascii="Arial" w:hAnsi="Arial" w:cs="Arial"/>
          <w:color w:val="000000"/>
          <w:shd w:val="clear" w:color="auto" w:fill="FFFFFF"/>
        </w:rPr>
        <w:t xml:space="preserve">4.2, </w:t>
      </w:r>
      <w:r w:rsidR="004B336F">
        <w:rPr>
          <w:rFonts w:ascii="Arial" w:hAnsi="Arial" w:cs="Arial"/>
          <w:color w:val="000000"/>
          <w:shd w:val="clear" w:color="auto" w:fill="FFFFFF"/>
        </w:rPr>
        <w:t>4.3</w:t>
      </w:r>
      <w:r w:rsidR="0063015B">
        <w:rPr>
          <w:rFonts w:ascii="Arial" w:hAnsi="Arial" w:cs="Arial"/>
          <w:color w:val="000000"/>
          <w:shd w:val="clear" w:color="auto" w:fill="FFFFFF"/>
        </w:rPr>
        <w:t xml:space="preserve"> and 4.4</w:t>
      </w:r>
      <w:r w:rsidR="00F94D62">
        <w:rPr>
          <w:rFonts w:ascii="Arial" w:hAnsi="Arial" w:cs="Arial"/>
          <w:color w:val="000000"/>
          <w:shd w:val="clear" w:color="auto" w:fill="FFFFFF"/>
        </w:rPr>
        <w:t>.</w:t>
      </w:r>
    </w:p>
    <w:p w14:paraId="31DA2D05" w14:textId="77777777" w:rsidR="00FB2947" w:rsidRDefault="00FB2947" w:rsidP="00643518">
      <w:pPr>
        <w:spacing w:line="240" w:lineRule="auto"/>
        <w:ind w:left="360"/>
        <w:contextualSpacing/>
        <w:rPr>
          <w:rFonts w:ascii="Arial" w:hAnsi="Arial" w:cs="Arial"/>
          <w:color w:val="000000"/>
          <w:shd w:val="clear" w:color="auto" w:fill="FFFFFF"/>
        </w:rPr>
      </w:pPr>
    </w:p>
    <w:p w14:paraId="6AFC38FB" w14:textId="51A175AD" w:rsidR="00734F6C" w:rsidRPr="00EA7283" w:rsidRDefault="00FB2947" w:rsidP="00643518">
      <w:pPr>
        <w:spacing w:line="240" w:lineRule="auto"/>
        <w:ind w:left="360"/>
        <w:contextualSpacing/>
        <w:rPr>
          <w:rFonts w:ascii="Arial" w:hAnsi="Arial" w:cs="Arial"/>
        </w:rPr>
      </w:pPr>
      <w:r>
        <w:rPr>
          <w:rFonts w:ascii="Arial" w:hAnsi="Arial" w:cs="Arial"/>
          <w:color w:val="000000"/>
          <w:shd w:val="clear" w:color="auto" w:fill="FFFFFF"/>
        </w:rPr>
        <w:t>All changes to programme or module content / delivery should be formally approved via Academic Registry (and checked for CMA compliance) before being delivered to students.</w:t>
      </w:r>
      <w:r w:rsidR="00734F6C" w:rsidRPr="00EA7283">
        <w:rPr>
          <w:rFonts w:ascii="Arial" w:hAnsi="Arial" w:cs="Arial"/>
          <w:color w:val="000000"/>
        </w:rPr>
        <w:br/>
      </w:r>
    </w:p>
    <w:p w14:paraId="5C026859" w14:textId="3CA885E1" w:rsidR="00734F6C" w:rsidRPr="00CB58F1" w:rsidRDefault="004F7AB0" w:rsidP="00EA7283">
      <w:pPr>
        <w:pStyle w:val="Heading1"/>
        <w:numPr>
          <w:ilvl w:val="1"/>
          <w:numId w:val="11"/>
        </w:numPr>
        <w:spacing w:line="240" w:lineRule="auto"/>
        <w:contextualSpacing/>
        <w:rPr>
          <w:rFonts w:ascii="Arial" w:eastAsia="Times New Roman" w:hAnsi="Arial" w:cs="Arial"/>
          <w:sz w:val="22"/>
          <w:szCs w:val="22"/>
          <w:lang w:eastAsia="en-GB"/>
        </w:rPr>
      </w:pPr>
      <w:r w:rsidRPr="00EA7283">
        <w:rPr>
          <w:rFonts w:ascii="Arial" w:eastAsia="Times New Roman" w:hAnsi="Arial" w:cs="Arial"/>
          <w:sz w:val="22"/>
          <w:szCs w:val="22"/>
          <w:lang w:eastAsia="en-GB"/>
        </w:rPr>
        <w:t xml:space="preserve">Managing </w:t>
      </w:r>
      <w:r w:rsidR="003826F4" w:rsidRPr="00EA7283">
        <w:rPr>
          <w:rFonts w:ascii="Arial" w:eastAsia="Times New Roman" w:hAnsi="Arial" w:cs="Arial"/>
          <w:sz w:val="22"/>
          <w:szCs w:val="22"/>
          <w:lang w:eastAsia="en-GB"/>
        </w:rPr>
        <w:t xml:space="preserve">Material </w:t>
      </w:r>
      <w:r w:rsidRPr="00EA7283">
        <w:rPr>
          <w:rFonts w:ascii="Arial" w:eastAsia="Times New Roman" w:hAnsi="Arial" w:cs="Arial"/>
          <w:sz w:val="22"/>
          <w:szCs w:val="22"/>
          <w:lang w:eastAsia="en-GB"/>
        </w:rPr>
        <w:t xml:space="preserve">changes </w:t>
      </w:r>
    </w:p>
    <w:p w14:paraId="218DC5DB" w14:textId="7A199FB9" w:rsidR="00F63BC6" w:rsidRPr="00F63BC6" w:rsidRDefault="00D61615" w:rsidP="00CB58F1">
      <w:pPr>
        <w:spacing w:line="240" w:lineRule="auto"/>
        <w:ind w:left="360"/>
        <w:contextualSpacing/>
        <w:rPr>
          <w:rFonts w:ascii="Arial" w:hAnsi="Arial" w:cs="Arial"/>
          <w:lang w:eastAsia="en-GB"/>
        </w:rPr>
      </w:pPr>
      <w:r w:rsidRPr="00EA7283">
        <w:rPr>
          <w:rFonts w:ascii="Arial" w:eastAsia="Times New Roman" w:hAnsi="Arial" w:cs="Arial"/>
          <w:color w:val="414042"/>
          <w:lang w:eastAsia="en-GB"/>
        </w:rPr>
        <w:t xml:space="preserve">Consideration must be given to both </w:t>
      </w:r>
      <w:r w:rsidR="00ED1414" w:rsidRPr="00EA7283">
        <w:rPr>
          <w:rFonts w:ascii="Arial" w:eastAsia="Times New Roman" w:hAnsi="Arial" w:cs="Arial"/>
          <w:color w:val="414042"/>
          <w:lang w:eastAsia="en-GB"/>
        </w:rPr>
        <w:t>current and prospective students when c</w:t>
      </w:r>
      <w:r w:rsidR="00F63BC6" w:rsidRPr="00F63BC6">
        <w:rPr>
          <w:rFonts w:ascii="Arial" w:eastAsia="Times New Roman" w:hAnsi="Arial" w:cs="Arial"/>
          <w:color w:val="414042"/>
          <w:lang w:eastAsia="en-GB"/>
        </w:rPr>
        <w:t>hanges to a programme or individual module(s)</w:t>
      </w:r>
      <w:r w:rsidR="00ED1414" w:rsidRPr="00EA7283">
        <w:rPr>
          <w:rFonts w:ascii="Arial" w:eastAsia="Times New Roman" w:hAnsi="Arial" w:cs="Arial"/>
          <w:color w:val="414042"/>
          <w:lang w:eastAsia="en-GB"/>
        </w:rPr>
        <w:t xml:space="preserve"> are made.</w:t>
      </w:r>
    </w:p>
    <w:p w14:paraId="2760589B" w14:textId="77777777" w:rsidR="00CB58F1" w:rsidRDefault="00CB58F1" w:rsidP="00EA7283">
      <w:pPr>
        <w:shd w:val="clear" w:color="auto" w:fill="FFFFFF"/>
        <w:spacing w:before="100" w:beforeAutospacing="1" w:after="100" w:afterAutospacing="1" w:line="240" w:lineRule="auto"/>
        <w:contextualSpacing/>
        <w:rPr>
          <w:rFonts w:ascii="Arial" w:eastAsia="Times New Roman" w:hAnsi="Arial" w:cs="Arial"/>
          <w:color w:val="414042"/>
          <w:lang w:eastAsia="en-GB"/>
        </w:rPr>
      </w:pPr>
    </w:p>
    <w:p w14:paraId="56EC1CED" w14:textId="2824D085" w:rsidR="00F63BC6" w:rsidRPr="00F63BC6" w:rsidRDefault="00F63BC6" w:rsidP="00CB58F1">
      <w:pPr>
        <w:shd w:val="clear" w:color="auto" w:fill="FFFFFF"/>
        <w:spacing w:before="100" w:beforeAutospacing="1" w:after="100" w:afterAutospacing="1" w:line="240" w:lineRule="auto"/>
        <w:ind w:left="360"/>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Changes may include:</w:t>
      </w:r>
    </w:p>
    <w:p w14:paraId="3B1E9D0B" w14:textId="7757BB02"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 to the aims and/or learning outcomes of a programme</w:t>
      </w:r>
    </w:p>
    <w:p w14:paraId="207B8CE2" w14:textId="0BAA697E"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 xml:space="preserve">significant restructuring of a programme </w:t>
      </w:r>
      <w:r w:rsidR="00716BD2">
        <w:rPr>
          <w:rFonts w:ascii="Arial" w:eastAsia="Times New Roman" w:hAnsi="Arial" w:cs="Arial"/>
          <w:color w:val="414042"/>
          <w:lang w:eastAsia="en-GB"/>
        </w:rPr>
        <w:t>(</w:t>
      </w:r>
      <w:proofErr w:type="gramStart"/>
      <w:r w:rsidR="00490AA7" w:rsidRPr="00F63BC6">
        <w:rPr>
          <w:rFonts w:ascii="Arial" w:eastAsia="Times New Roman" w:hAnsi="Arial" w:cs="Arial"/>
          <w:color w:val="414042"/>
          <w:lang w:eastAsia="en-GB"/>
        </w:rPr>
        <w:t>e.g.</w:t>
      </w:r>
      <w:proofErr w:type="gramEnd"/>
      <w:r w:rsidRPr="00F63BC6">
        <w:rPr>
          <w:rFonts w:ascii="Arial" w:eastAsia="Times New Roman" w:hAnsi="Arial" w:cs="Arial"/>
          <w:color w:val="414042"/>
          <w:lang w:eastAsia="en-GB"/>
        </w:rPr>
        <w:t xml:space="preserve"> following a curriculum review</w:t>
      </w:r>
      <w:r w:rsidR="00716BD2">
        <w:rPr>
          <w:rFonts w:ascii="Arial" w:eastAsia="Times New Roman" w:hAnsi="Arial" w:cs="Arial"/>
          <w:color w:val="414042"/>
          <w:lang w:eastAsia="en-GB"/>
        </w:rPr>
        <w:t>)</w:t>
      </w:r>
    </w:p>
    <w:p w14:paraId="3ED8846E" w14:textId="239DBFA5" w:rsid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 or addition of a mode of attendance (</w:t>
      </w:r>
      <w:proofErr w:type="gramStart"/>
      <w:r w:rsidR="00490AA7" w:rsidRPr="00F63BC6">
        <w:rPr>
          <w:rFonts w:ascii="Arial" w:eastAsia="Times New Roman" w:hAnsi="Arial" w:cs="Arial"/>
          <w:color w:val="414042"/>
          <w:lang w:eastAsia="en-GB"/>
        </w:rPr>
        <w:t>e.g.</w:t>
      </w:r>
      <w:proofErr w:type="gramEnd"/>
      <w:r w:rsidRPr="00F63BC6">
        <w:rPr>
          <w:rFonts w:ascii="Arial" w:eastAsia="Times New Roman" w:hAnsi="Arial" w:cs="Arial"/>
          <w:color w:val="414042"/>
          <w:lang w:eastAsia="en-GB"/>
        </w:rPr>
        <w:t xml:space="preserve"> from PT to FT)</w:t>
      </w:r>
    </w:p>
    <w:p w14:paraId="133288F2" w14:textId="78EC6D82" w:rsidR="00501FA9" w:rsidRPr="00F63BC6" w:rsidRDefault="00501FA9" w:rsidP="28C1A73D">
      <w:pPr>
        <w:numPr>
          <w:ilvl w:val="0"/>
          <w:numId w:val="6"/>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28C1A73D">
        <w:rPr>
          <w:rFonts w:ascii="Arial" w:eastAsia="Times New Roman" w:hAnsi="Arial" w:cs="Arial"/>
          <w:color w:val="414042"/>
          <w:lang w:eastAsia="en-GB"/>
        </w:rPr>
        <w:t>change or addition of a programme intake</w:t>
      </w:r>
    </w:p>
    <w:p w14:paraId="135D50FF" w14:textId="19208EBB" w:rsidR="00F63BC6" w:rsidRPr="00F63BC6" w:rsidRDefault="00F63BC6" w:rsidP="38E46D44">
      <w:pPr>
        <w:numPr>
          <w:ilvl w:val="0"/>
          <w:numId w:val="6"/>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38E46D44">
        <w:rPr>
          <w:rFonts w:ascii="Arial" w:eastAsia="Times New Roman" w:hAnsi="Arial" w:cs="Arial"/>
          <w:color w:val="414042"/>
          <w:lang w:eastAsia="en-GB"/>
        </w:rPr>
        <w:t xml:space="preserve">change to the assessment across the whole programme or in </w:t>
      </w:r>
      <w:proofErr w:type="gramStart"/>
      <w:r w:rsidRPr="38E46D44">
        <w:rPr>
          <w:rFonts w:ascii="Arial" w:eastAsia="Times New Roman" w:hAnsi="Arial" w:cs="Arial"/>
          <w:color w:val="414042"/>
          <w:lang w:eastAsia="en-GB"/>
        </w:rPr>
        <w:t>a number of</w:t>
      </w:r>
      <w:proofErr w:type="gramEnd"/>
      <w:r w:rsidRPr="38E46D44">
        <w:rPr>
          <w:rFonts w:ascii="Arial" w:eastAsia="Times New Roman" w:hAnsi="Arial" w:cs="Arial"/>
          <w:color w:val="414042"/>
          <w:lang w:eastAsia="en-GB"/>
        </w:rPr>
        <w:t xml:space="preserve"> modules contributing to the programme</w:t>
      </w:r>
    </w:p>
    <w:p w14:paraId="7DF902BA" w14:textId="77777777"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 to the programme title</w:t>
      </w:r>
    </w:p>
    <w:p w14:paraId="54EA8D55" w14:textId="75B3A3BB"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 to the nature of the award</w:t>
      </w:r>
      <w:r w:rsidR="007D195F">
        <w:rPr>
          <w:rFonts w:ascii="Arial" w:eastAsia="Times New Roman" w:hAnsi="Arial" w:cs="Arial"/>
          <w:color w:val="414042"/>
          <w:lang w:eastAsia="en-GB"/>
        </w:rPr>
        <w:t xml:space="preserve"> (</w:t>
      </w:r>
      <w:proofErr w:type="gramStart"/>
      <w:r w:rsidR="00490AA7">
        <w:rPr>
          <w:rFonts w:ascii="Arial" w:eastAsia="Times New Roman" w:hAnsi="Arial" w:cs="Arial"/>
          <w:color w:val="414042"/>
          <w:lang w:eastAsia="en-GB"/>
        </w:rPr>
        <w:t>e.g.</w:t>
      </w:r>
      <w:proofErr w:type="gramEnd"/>
      <w:r w:rsidR="007D195F">
        <w:rPr>
          <w:rFonts w:ascii="Arial" w:eastAsia="Times New Roman" w:hAnsi="Arial" w:cs="Arial"/>
          <w:color w:val="414042"/>
          <w:lang w:eastAsia="en-GB"/>
        </w:rPr>
        <w:t xml:space="preserve"> from BSc to BA)</w:t>
      </w:r>
    </w:p>
    <w:p w14:paraId="453CE825" w14:textId="77777777"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 to the duration of a programme</w:t>
      </w:r>
    </w:p>
    <w:p w14:paraId="4CA2AD5B" w14:textId="0C78E938" w:rsidR="00F63BC6" w:rsidRPr="00F63BC6" w:rsidRDefault="00F63BC6" w:rsidP="0F7D8D94">
      <w:pPr>
        <w:numPr>
          <w:ilvl w:val="0"/>
          <w:numId w:val="6"/>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 xml:space="preserve">discontinuation </w:t>
      </w:r>
      <w:r w:rsidR="00FB2947">
        <w:rPr>
          <w:rFonts w:ascii="Arial" w:eastAsia="Times New Roman" w:hAnsi="Arial" w:cs="Arial"/>
          <w:color w:val="414042"/>
          <w:lang w:eastAsia="en-GB"/>
        </w:rPr>
        <w:t xml:space="preserve">(withdrawal) </w:t>
      </w:r>
      <w:r w:rsidRPr="00F63BC6">
        <w:rPr>
          <w:rFonts w:ascii="Arial" w:eastAsia="Times New Roman" w:hAnsi="Arial" w:cs="Arial"/>
          <w:color w:val="414042"/>
          <w:lang w:eastAsia="en-GB"/>
        </w:rPr>
        <w:t>of a programme</w:t>
      </w:r>
    </w:p>
    <w:p w14:paraId="17E154B4" w14:textId="77777777" w:rsidR="00F63BC6" w:rsidRP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lastRenderedPageBreak/>
        <w:t>change to the accreditation status of a programme (for professionally accredited programmes)</w:t>
      </w:r>
    </w:p>
    <w:p w14:paraId="225F2E36" w14:textId="11E31A1C" w:rsidR="00F63BC6" w:rsidRPr="00F63BC6" w:rsidRDefault="00F63BC6" w:rsidP="0F7D8D94">
      <w:pPr>
        <w:numPr>
          <w:ilvl w:val="0"/>
          <w:numId w:val="6"/>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 xml:space="preserve">changes to the core modules published in the programme </w:t>
      </w:r>
      <w:r w:rsidR="00FB2947" w:rsidRPr="0F7D8D94">
        <w:rPr>
          <w:rFonts w:ascii="Arial" w:eastAsia="Times New Roman" w:hAnsi="Arial" w:cs="Arial"/>
          <w:color w:val="414042"/>
          <w:lang w:eastAsia="en-GB"/>
        </w:rPr>
        <w:t>specification</w:t>
      </w:r>
    </w:p>
    <w:p w14:paraId="387C95D9" w14:textId="3634076E" w:rsidR="00F63BC6" w:rsidRDefault="00F63BC6" w:rsidP="00EA7283">
      <w:pPr>
        <w:numPr>
          <w:ilvl w:val="0"/>
          <w:numId w:val="6"/>
        </w:num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63BC6">
        <w:rPr>
          <w:rFonts w:ascii="Arial" w:eastAsia="Times New Roman" w:hAnsi="Arial" w:cs="Arial"/>
          <w:color w:val="414042"/>
          <w:lang w:eastAsia="en-GB"/>
        </w:rPr>
        <w:t>changes to the content of core modules where the means of delivery and/or means of assessment is substantially different to what has been published in student handbooks etc.</w:t>
      </w:r>
    </w:p>
    <w:p w14:paraId="050DC7A1" w14:textId="77777777" w:rsidR="00CB58F1" w:rsidRPr="00F63BC6" w:rsidRDefault="00CB58F1" w:rsidP="00CB58F1">
      <w:pPr>
        <w:shd w:val="clear" w:color="auto" w:fill="FFFFFF"/>
        <w:spacing w:before="100" w:beforeAutospacing="1" w:after="100" w:afterAutospacing="1" w:line="240" w:lineRule="auto"/>
        <w:ind w:left="720"/>
        <w:contextualSpacing/>
        <w:rPr>
          <w:rFonts w:ascii="Arial" w:eastAsia="Times New Roman" w:hAnsi="Arial" w:cs="Arial"/>
          <w:color w:val="414042"/>
          <w:lang w:eastAsia="en-GB"/>
        </w:rPr>
      </w:pPr>
    </w:p>
    <w:p w14:paraId="1E8D8392" w14:textId="4B8C4328" w:rsidR="00F63BC6" w:rsidRDefault="00F63BC6" w:rsidP="00CB58F1">
      <w:pPr>
        <w:shd w:val="clear" w:color="auto" w:fill="FFFFFF"/>
        <w:spacing w:before="100" w:beforeAutospacing="1" w:after="100" w:afterAutospacing="1" w:line="240" w:lineRule="auto"/>
        <w:ind w:left="360"/>
        <w:contextualSpacing/>
        <w:rPr>
          <w:rFonts w:ascii="Arial" w:eastAsia="Times New Roman" w:hAnsi="Arial" w:cs="Arial"/>
          <w:color w:val="414042"/>
          <w:lang w:eastAsia="en-GB"/>
        </w:rPr>
      </w:pPr>
      <w:r w:rsidRPr="0063715C">
        <w:rPr>
          <w:rFonts w:ascii="Arial" w:eastAsia="Times New Roman" w:hAnsi="Arial" w:cs="Arial"/>
          <w:color w:val="414042"/>
          <w:lang w:eastAsia="en-GB"/>
        </w:rPr>
        <w:t xml:space="preserve">Students must be either informed </w:t>
      </w:r>
      <w:r w:rsidR="00231F16" w:rsidRPr="0063715C">
        <w:rPr>
          <w:rFonts w:ascii="Arial" w:eastAsia="Times New Roman" w:hAnsi="Arial" w:cs="Arial"/>
          <w:color w:val="414042"/>
          <w:lang w:eastAsia="en-GB"/>
        </w:rPr>
        <w:t>(</w:t>
      </w:r>
      <w:r w:rsidR="00DF5B22" w:rsidRPr="0063715C">
        <w:rPr>
          <w:rFonts w:ascii="Arial" w:eastAsia="Times New Roman" w:hAnsi="Arial" w:cs="Arial"/>
          <w:color w:val="414042"/>
          <w:lang w:eastAsia="en-GB"/>
        </w:rPr>
        <w:t>4.2</w:t>
      </w:r>
      <w:r w:rsidR="00231F16" w:rsidRPr="0063715C">
        <w:rPr>
          <w:rFonts w:ascii="Arial" w:eastAsia="Times New Roman" w:hAnsi="Arial" w:cs="Arial"/>
          <w:color w:val="414042"/>
          <w:lang w:eastAsia="en-GB"/>
        </w:rPr>
        <w:t>)</w:t>
      </w:r>
      <w:r w:rsidR="007B7DAF" w:rsidRPr="0063715C">
        <w:rPr>
          <w:rFonts w:ascii="Arial" w:eastAsia="Times New Roman" w:hAnsi="Arial" w:cs="Arial"/>
          <w:color w:val="414042"/>
          <w:lang w:eastAsia="en-GB"/>
        </w:rPr>
        <w:t xml:space="preserve">, </w:t>
      </w:r>
      <w:r w:rsidRPr="0063715C">
        <w:rPr>
          <w:rFonts w:ascii="Arial" w:eastAsia="Times New Roman" w:hAnsi="Arial" w:cs="Arial"/>
          <w:color w:val="414042"/>
          <w:lang w:eastAsia="en-GB"/>
        </w:rPr>
        <w:t xml:space="preserve">consulted </w:t>
      </w:r>
      <w:r w:rsidR="00DF38A0" w:rsidRPr="0063715C">
        <w:rPr>
          <w:rFonts w:ascii="Arial" w:eastAsia="Times New Roman" w:hAnsi="Arial" w:cs="Arial"/>
          <w:color w:val="414042"/>
          <w:lang w:eastAsia="en-GB"/>
        </w:rPr>
        <w:t>(</w:t>
      </w:r>
      <w:r w:rsidR="00DF5B22" w:rsidRPr="0063715C">
        <w:rPr>
          <w:rFonts w:ascii="Arial" w:eastAsia="Times New Roman" w:hAnsi="Arial" w:cs="Arial"/>
          <w:color w:val="414042"/>
          <w:lang w:eastAsia="en-GB"/>
        </w:rPr>
        <w:t>4.3</w:t>
      </w:r>
      <w:r w:rsidR="00DF38A0" w:rsidRPr="0063715C">
        <w:rPr>
          <w:rFonts w:ascii="Arial" w:eastAsia="Times New Roman" w:hAnsi="Arial" w:cs="Arial"/>
          <w:color w:val="414042"/>
          <w:lang w:eastAsia="en-GB"/>
        </w:rPr>
        <w:t xml:space="preserve">) </w:t>
      </w:r>
      <w:r w:rsidR="007B7DAF" w:rsidRPr="0063715C">
        <w:rPr>
          <w:rFonts w:ascii="Arial" w:eastAsia="Times New Roman" w:hAnsi="Arial" w:cs="Arial"/>
          <w:color w:val="414042"/>
          <w:lang w:eastAsia="en-GB"/>
        </w:rPr>
        <w:t xml:space="preserve">or </w:t>
      </w:r>
      <w:r w:rsidR="00AE3B26" w:rsidRPr="0063715C">
        <w:rPr>
          <w:rFonts w:ascii="Arial" w:eastAsia="Times New Roman" w:hAnsi="Arial" w:cs="Arial"/>
          <w:color w:val="414042"/>
          <w:lang w:eastAsia="en-GB"/>
        </w:rPr>
        <w:t xml:space="preserve">consent sought </w:t>
      </w:r>
      <w:r w:rsidR="00DF5B22" w:rsidRPr="0063715C">
        <w:rPr>
          <w:rFonts w:ascii="Arial" w:eastAsia="Times New Roman" w:hAnsi="Arial" w:cs="Arial"/>
          <w:color w:val="414042"/>
          <w:lang w:eastAsia="en-GB"/>
        </w:rPr>
        <w:t xml:space="preserve">(4.4) </w:t>
      </w:r>
      <w:r w:rsidR="00AE3B26" w:rsidRPr="0063715C">
        <w:rPr>
          <w:rFonts w:ascii="Arial" w:eastAsia="Times New Roman" w:hAnsi="Arial" w:cs="Arial"/>
          <w:color w:val="414042"/>
          <w:lang w:eastAsia="en-GB"/>
        </w:rPr>
        <w:t>for</w:t>
      </w:r>
      <w:r w:rsidRPr="0063715C">
        <w:rPr>
          <w:rFonts w:ascii="Arial" w:eastAsia="Times New Roman" w:hAnsi="Arial" w:cs="Arial"/>
          <w:color w:val="414042"/>
          <w:lang w:eastAsia="en-GB"/>
        </w:rPr>
        <w:t xml:space="preserve"> any changes that they may perceive to mean that the course that they have applied</w:t>
      </w:r>
      <w:r w:rsidRPr="00F63BC6">
        <w:rPr>
          <w:rFonts w:ascii="Arial" w:eastAsia="Times New Roman" w:hAnsi="Arial" w:cs="Arial"/>
          <w:color w:val="414042"/>
          <w:lang w:eastAsia="en-GB"/>
        </w:rPr>
        <w:t xml:space="preserve"> to or registered on is substantially different to what they signed up to. However, students should be aware that optional modules may change from time to time and to</w:t>
      </w:r>
      <w:r w:rsidR="00170559" w:rsidRPr="00EA7283">
        <w:rPr>
          <w:rFonts w:ascii="Arial" w:eastAsia="Times New Roman" w:hAnsi="Arial" w:cs="Arial"/>
          <w:color w:val="414042"/>
          <w:lang w:eastAsia="en-GB"/>
        </w:rPr>
        <w:t xml:space="preserve"> </w:t>
      </w:r>
      <w:r w:rsidRPr="00F63BC6">
        <w:rPr>
          <w:rFonts w:ascii="Arial" w:eastAsia="Times New Roman" w:hAnsi="Arial" w:cs="Arial"/>
          <w:color w:val="414042"/>
          <w:lang w:eastAsia="en-GB"/>
        </w:rPr>
        <w:t>reflect this fact the following statement is included in all programme regulations and the prospectus:</w:t>
      </w:r>
    </w:p>
    <w:p w14:paraId="5EF9251B" w14:textId="77777777" w:rsidR="001056E8" w:rsidRPr="00754506" w:rsidRDefault="001056E8" w:rsidP="00CB58F1">
      <w:pPr>
        <w:shd w:val="clear" w:color="auto" w:fill="FFFFFF"/>
        <w:spacing w:before="100" w:beforeAutospacing="1" w:after="100" w:afterAutospacing="1" w:line="240" w:lineRule="auto"/>
        <w:ind w:left="360"/>
        <w:contextualSpacing/>
        <w:rPr>
          <w:rFonts w:ascii="Arial" w:eastAsia="Times New Roman" w:hAnsi="Arial" w:cs="Arial"/>
          <w:color w:val="808080" w:themeColor="background1" w:themeShade="80"/>
          <w:lang w:eastAsia="en-GB"/>
        </w:rPr>
      </w:pPr>
    </w:p>
    <w:p w14:paraId="0F313BB1" w14:textId="72091956" w:rsidR="00F63BC6" w:rsidRPr="003F6E63" w:rsidRDefault="00633FF0" w:rsidP="002A0E5F">
      <w:pPr>
        <w:spacing w:before="100" w:beforeAutospacing="1" w:after="100" w:afterAutospacing="1" w:line="240" w:lineRule="auto"/>
        <w:ind w:left="709" w:right="521"/>
        <w:contextualSpacing/>
        <w:rPr>
          <w:rFonts w:ascii="Arial" w:eastAsia="Times New Roman" w:hAnsi="Arial" w:cs="Arial"/>
          <w:color w:val="414042"/>
          <w:lang w:eastAsia="en-GB"/>
        </w:rPr>
      </w:pPr>
      <w:r w:rsidRPr="002A0E5F">
        <w:rPr>
          <w:rFonts w:ascii="Arial" w:eastAsia="Times New Roman" w:hAnsi="Arial" w:cs="Arial"/>
          <w:lang w:eastAsia="en-GB"/>
        </w:rPr>
        <w:t>‘</w:t>
      </w:r>
      <w:r w:rsidR="00F63BC6" w:rsidRPr="002A0E5F">
        <w:rPr>
          <w:rFonts w:ascii="Arial" w:eastAsia="Times New Roman" w:hAnsi="Arial" w:cs="Arial"/>
          <w:lang w:eastAsia="en-GB"/>
        </w:rPr>
        <w:t>The content</w:t>
      </w:r>
      <w:r w:rsidR="00992192" w:rsidRPr="002A0E5F">
        <w:rPr>
          <w:rFonts w:ascii="Arial" w:eastAsia="Times New Roman" w:hAnsi="Arial" w:cs="Arial"/>
          <w:lang w:eastAsia="en-GB"/>
        </w:rPr>
        <w:t xml:space="preserve"> accuracy</w:t>
      </w:r>
      <w:r w:rsidR="00F63BC6" w:rsidRPr="002A0E5F">
        <w:rPr>
          <w:rFonts w:ascii="Arial" w:eastAsia="Times New Roman" w:hAnsi="Arial" w:cs="Arial"/>
          <w:lang w:eastAsia="en-GB"/>
        </w:rPr>
        <w:t xml:space="preserve"> of our courses is reviewed annually to make sure it's up-to-date and relevant. Individual modules are occasionally updated or withdrawn. This is in response to discoveries through our world-leading research; funding changes; professional accreditation requirements; student or employer feedback; outcomes of reviews; and variations in staff or student numbers. In the event of changes the University will consult and </w:t>
      </w:r>
      <w:r w:rsidR="220E8CFE" w:rsidRPr="002A0E5F">
        <w:rPr>
          <w:rFonts w:ascii="Arial" w:eastAsia="Times New Roman" w:hAnsi="Arial" w:cs="Arial"/>
          <w:lang w:eastAsia="en-GB"/>
        </w:rPr>
        <w:t>/</w:t>
      </w:r>
      <w:r w:rsidR="00F63BC6" w:rsidRPr="002A0E5F">
        <w:rPr>
          <w:rFonts w:ascii="Arial" w:eastAsia="Times New Roman" w:hAnsi="Arial" w:cs="Arial"/>
          <w:lang w:eastAsia="en-GB"/>
        </w:rPr>
        <w:t xml:space="preserve"> </w:t>
      </w:r>
      <w:r w:rsidR="0776EC58" w:rsidRPr="002A0E5F">
        <w:rPr>
          <w:rFonts w:ascii="Arial" w:eastAsia="Times New Roman" w:hAnsi="Arial" w:cs="Arial"/>
          <w:lang w:eastAsia="en-GB"/>
        </w:rPr>
        <w:t xml:space="preserve">or </w:t>
      </w:r>
      <w:r w:rsidR="00FA249E" w:rsidRPr="002A0E5F">
        <w:rPr>
          <w:rFonts w:ascii="Arial" w:eastAsia="Times New Roman" w:hAnsi="Arial" w:cs="Arial"/>
          <w:lang w:eastAsia="en-GB"/>
        </w:rPr>
        <w:t>i</w:t>
      </w:r>
      <w:r w:rsidR="00F63BC6" w:rsidRPr="002A0E5F">
        <w:rPr>
          <w:rFonts w:ascii="Arial" w:eastAsia="Times New Roman" w:hAnsi="Arial" w:cs="Arial"/>
          <w:lang w:eastAsia="en-GB"/>
        </w:rPr>
        <w:t>nform students and will take reasonable steps to minimise disruption</w:t>
      </w:r>
      <w:r w:rsidRPr="002A0E5F">
        <w:rPr>
          <w:rFonts w:ascii="Arial" w:eastAsia="Times New Roman" w:hAnsi="Arial" w:cs="Arial"/>
          <w:lang w:eastAsia="en-GB"/>
        </w:rPr>
        <w:t>’</w:t>
      </w:r>
      <w:r w:rsidR="00F63BC6" w:rsidRPr="28C1A73D">
        <w:rPr>
          <w:rFonts w:ascii="Arial" w:eastAsia="Times New Roman" w:hAnsi="Arial" w:cs="Arial"/>
          <w:color w:val="414042"/>
          <w:lang w:eastAsia="en-GB"/>
        </w:rPr>
        <w:t>.</w:t>
      </w:r>
    </w:p>
    <w:p w14:paraId="7D8B69BA" w14:textId="77777777" w:rsidR="00DF5B22" w:rsidRPr="00EA7283" w:rsidRDefault="00DF5B22" w:rsidP="00E21708">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p>
    <w:p w14:paraId="11FE37D0" w14:textId="77777777" w:rsidR="00DF5B22" w:rsidRDefault="00DF5B22" w:rsidP="001056E8">
      <w:pPr>
        <w:pStyle w:val="Heading1"/>
        <w:spacing w:line="240" w:lineRule="auto"/>
        <w:ind w:left="360"/>
        <w:contextualSpacing/>
        <w:rPr>
          <w:rFonts w:ascii="Arial" w:eastAsia="Times New Roman" w:hAnsi="Arial" w:cs="Arial"/>
          <w:sz w:val="22"/>
          <w:szCs w:val="22"/>
          <w:lang w:eastAsia="en-GB"/>
        </w:rPr>
      </w:pPr>
      <w:r>
        <w:rPr>
          <w:rFonts w:ascii="Arial" w:eastAsia="Times New Roman" w:hAnsi="Arial" w:cs="Arial"/>
          <w:sz w:val="22"/>
          <w:szCs w:val="22"/>
          <w:lang w:eastAsia="en-GB"/>
        </w:rPr>
        <w:t xml:space="preserve">4.2 </w:t>
      </w:r>
      <w:r w:rsidR="003F06B7" w:rsidRPr="00DF5B22">
        <w:rPr>
          <w:rFonts w:ascii="Arial" w:eastAsia="Times New Roman" w:hAnsi="Arial" w:cs="Arial"/>
          <w:sz w:val="22"/>
          <w:szCs w:val="22"/>
          <w:lang w:eastAsia="en-GB"/>
        </w:rPr>
        <w:t>W</w:t>
      </w:r>
      <w:r w:rsidR="00F63BC6" w:rsidRPr="00DF5B22">
        <w:rPr>
          <w:rFonts w:ascii="Arial" w:eastAsia="Times New Roman" w:hAnsi="Arial" w:cs="Arial"/>
          <w:sz w:val="22"/>
          <w:szCs w:val="22"/>
          <w:lang w:eastAsia="en-GB"/>
        </w:rPr>
        <w:t xml:space="preserve">hen </w:t>
      </w:r>
      <w:r w:rsidR="00F63BC6" w:rsidRPr="00FA249E">
        <w:rPr>
          <w:rFonts w:ascii="Arial" w:eastAsia="Times New Roman" w:hAnsi="Arial" w:cs="Arial"/>
          <w:sz w:val="22"/>
          <w:szCs w:val="22"/>
          <w:lang w:eastAsia="en-GB"/>
        </w:rPr>
        <w:t>to inform</w:t>
      </w:r>
    </w:p>
    <w:p w14:paraId="07EF15EB" w14:textId="77777777" w:rsidR="004B18D5" w:rsidRDefault="004B18D5" w:rsidP="001056E8">
      <w:pPr>
        <w:pStyle w:val="Heading1"/>
        <w:spacing w:line="240" w:lineRule="auto"/>
        <w:ind w:left="360"/>
        <w:contextualSpacing/>
        <w:rPr>
          <w:rFonts w:ascii="Arial" w:eastAsia="Times New Roman" w:hAnsi="Arial" w:cs="Arial"/>
          <w:color w:val="414042"/>
          <w:sz w:val="22"/>
          <w:szCs w:val="22"/>
          <w:lang w:eastAsia="en-GB"/>
        </w:rPr>
      </w:pPr>
    </w:p>
    <w:tbl>
      <w:tblPr>
        <w:tblStyle w:val="TableGrid"/>
        <w:tblW w:w="0" w:type="auto"/>
        <w:tblInd w:w="360" w:type="dxa"/>
        <w:tblLook w:val="04A0" w:firstRow="1" w:lastRow="0" w:firstColumn="1" w:lastColumn="0" w:noHBand="0" w:noVBand="1"/>
      </w:tblPr>
      <w:tblGrid>
        <w:gridCol w:w="4337"/>
        <w:gridCol w:w="2811"/>
      </w:tblGrid>
      <w:tr w:rsidR="0015774B" w:rsidRPr="0015774B" w14:paraId="47039367" w14:textId="77777777" w:rsidTr="00104B47">
        <w:tc>
          <w:tcPr>
            <w:tcW w:w="4337" w:type="dxa"/>
            <w:shd w:val="clear" w:color="auto" w:fill="auto"/>
          </w:tcPr>
          <w:p w14:paraId="17F4C08E" w14:textId="4DB6015B" w:rsidR="0055503D" w:rsidRPr="00005CE4" w:rsidRDefault="00166A86" w:rsidP="63C499E6">
            <w:pPr>
              <w:pStyle w:val="Heading1"/>
              <w:contextualSpacing/>
              <w:outlineLvl w:val="0"/>
              <w:rPr>
                <w:rFonts w:ascii="Arial" w:eastAsia="Times New Roman" w:hAnsi="Arial" w:cs="Arial"/>
                <w:b/>
                <w:bCs/>
                <w:color w:val="auto"/>
                <w:sz w:val="22"/>
                <w:szCs w:val="22"/>
                <w:lang w:eastAsia="en-GB"/>
              </w:rPr>
            </w:pPr>
            <w:r w:rsidRPr="00240DFA">
              <w:rPr>
                <w:rFonts w:ascii="Arial" w:eastAsia="Times New Roman" w:hAnsi="Arial" w:cs="Arial"/>
                <w:b/>
                <w:bCs/>
                <w:color w:val="auto"/>
                <w:sz w:val="22"/>
                <w:szCs w:val="22"/>
                <w:lang w:eastAsia="en-GB"/>
              </w:rPr>
              <w:t>Change Definition</w:t>
            </w:r>
          </w:p>
        </w:tc>
        <w:tc>
          <w:tcPr>
            <w:tcW w:w="2811" w:type="dxa"/>
            <w:shd w:val="clear" w:color="auto" w:fill="auto"/>
          </w:tcPr>
          <w:p w14:paraId="238BD8A9" w14:textId="192C4D69" w:rsidR="0055503D" w:rsidRPr="0015774B" w:rsidRDefault="6FD1979C" w:rsidP="63C499E6">
            <w:pPr>
              <w:pStyle w:val="Heading1"/>
              <w:contextualSpacing/>
              <w:outlineLvl w:val="0"/>
              <w:rPr>
                <w:rFonts w:ascii="Arial" w:eastAsia="Times New Roman" w:hAnsi="Arial" w:cs="Arial"/>
                <w:b/>
                <w:bCs/>
                <w:color w:val="auto"/>
                <w:sz w:val="22"/>
                <w:szCs w:val="22"/>
                <w:highlight w:val="yellow"/>
                <w:lang w:eastAsia="en-GB"/>
              </w:rPr>
            </w:pPr>
            <w:r w:rsidRPr="00104B47">
              <w:rPr>
                <w:rFonts w:ascii="Arial" w:eastAsia="Times New Roman" w:hAnsi="Arial" w:cs="Arial"/>
                <w:b/>
                <w:bCs/>
                <w:color w:val="auto"/>
                <w:sz w:val="22"/>
                <w:szCs w:val="22"/>
                <w:shd w:val="clear" w:color="auto" w:fill="FFFFFF" w:themeFill="background1"/>
                <w:lang w:eastAsia="en-GB"/>
              </w:rPr>
              <w:t>Who</w:t>
            </w:r>
            <w:r w:rsidRPr="00240DFA">
              <w:rPr>
                <w:rFonts w:ascii="Arial" w:eastAsia="Times New Roman" w:hAnsi="Arial" w:cs="Arial"/>
                <w:b/>
                <w:bCs/>
                <w:color w:val="auto"/>
                <w:sz w:val="22"/>
                <w:szCs w:val="22"/>
                <w:lang w:eastAsia="en-GB"/>
              </w:rPr>
              <w:t xml:space="preserve"> </w:t>
            </w:r>
            <w:r w:rsidRPr="00104B47">
              <w:rPr>
                <w:rFonts w:ascii="Arial" w:eastAsia="Times New Roman" w:hAnsi="Arial" w:cs="Arial"/>
                <w:b/>
                <w:bCs/>
                <w:color w:val="auto"/>
                <w:sz w:val="22"/>
                <w:szCs w:val="22"/>
                <w:lang w:eastAsia="en-GB"/>
              </w:rPr>
              <w:t>will</w:t>
            </w:r>
            <w:r w:rsidRPr="00240DFA">
              <w:rPr>
                <w:rFonts w:ascii="Arial" w:eastAsia="Times New Roman" w:hAnsi="Arial" w:cs="Arial"/>
                <w:b/>
                <w:bCs/>
                <w:color w:val="auto"/>
                <w:sz w:val="22"/>
                <w:szCs w:val="22"/>
                <w:lang w:eastAsia="en-GB"/>
              </w:rPr>
              <w:t xml:space="preserve"> </w:t>
            </w:r>
            <w:r w:rsidRPr="00104B47">
              <w:rPr>
                <w:rFonts w:ascii="Arial" w:eastAsia="Times New Roman" w:hAnsi="Arial" w:cs="Arial"/>
                <w:b/>
                <w:bCs/>
                <w:color w:val="auto"/>
                <w:sz w:val="22"/>
                <w:szCs w:val="22"/>
                <w:lang w:eastAsia="en-GB"/>
              </w:rPr>
              <w:t>inform</w:t>
            </w:r>
          </w:p>
        </w:tc>
      </w:tr>
      <w:tr w:rsidR="0015774B" w:rsidRPr="0015774B" w14:paraId="01D7C598" w14:textId="77777777" w:rsidTr="560FA088">
        <w:tc>
          <w:tcPr>
            <w:tcW w:w="4337" w:type="dxa"/>
          </w:tcPr>
          <w:p w14:paraId="6F3A9F3F" w14:textId="20880CC0" w:rsidR="0055503D" w:rsidRPr="0015774B" w:rsidRDefault="00A7261F" w:rsidP="001056E8">
            <w:pPr>
              <w:pStyle w:val="Heading1"/>
              <w:contextualSpacing/>
              <w:outlineLvl w:val="0"/>
              <w:rPr>
                <w:rFonts w:ascii="Arial" w:eastAsia="Times New Roman" w:hAnsi="Arial" w:cs="Arial"/>
                <w:color w:val="auto"/>
                <w:sz w:val="22"/>
                <w:szCs w:val="22"/>
                <w:lang w:eastAsia="en-GB"/>
              </w:rPr>
            </w:pPr>
            <w:r w:rsidRPr="63C499E6">
              <w:rPr>
                <w:rFonts w:ascii="Arial" w:eastAsia="Times New Roman" w:hAnsi="Arial" w:cs="Arial"/>
                <w:color w:val="auto"/>
                <w:sz w:val="22"/>
                <w:szCs w:val="22"/>
                <w:lang w:eastAsia="en-GB"/>
              </w:rPr>
              <w:t xml:space="preserve">Pre-contractual </w:t>
            </w:r>
            <w:r w:rsidR="00BF5BDF" w:rsidRPr="63C499E6">
              <w:rPr>
                <w:rFonts w:ascii="Arial" w:eastAsia="Times New Roman" w:hAnsi="Arial" w:cs="Arial"/>
                <w:color w:val="auto"/>
                <w:sz w:val="22"/>
                <w:szCs w:val="22"/>
                <w:lang w:eastAsia="en-GB"/>
              </w:rPr>
              <w:t>material changes</w:t>
            </w:r>
          </w:p>
        </w:tc>
        <w:tc>
          <w:tcPr>
            <w:tcW w:w="2811" w:type="dxa"/>
          </w:tcPr>
          <w:p w14:paraId="36FC2302" w14:textId="77311202" w:rsidR="0055503D" w:rsidRPr="0015774B" w:rsidRDefault="002D353D" w:rsidP="001056E8">
            <w:pPr>
              <w:pStyle w:val="Heading1"/>
              <w:contextualSpacing/>
              <w:outlineLvl w:val="0"/>
              <w:rPr>
                <w:rFonts w:ascii="Arial" w:eastAsia="Times New Roman" w:hAnsi="Arial" w:cs="Arial"/>
                <w:color w:val="auto"/>
                <w:sz w:val="22"/>
                <w:szCs w:val="22"/>
                <w:lang w:eastAsia="en-GB"/>
              </w:rPr>
            </w:pPr>
            <w:r>
              <w:br/>
            </w:r>
            <w:r w:rsidR="00833851" w:rsidRPr="63C499E6">
              <w:rPr>
                <w:rFonts w:ascii="Arial" w:eastAsia="Times New Roman" w:hAnsi="Arial" w:cs="Arial"/>
                <w:color w:val="auto"/>
                <w:sz w:val="22"/>
                <w:szCs w:val="22"/>
                <w:lang w:eastAsia="en-GB"/>
              </w:rPr>
              <w:t>GM&amp;B</w:t>
            </w:r>
          </w:p>
        </w:tc>
      </w:tr>
      <w:tr w:rsidR="0015774B" w:rsidRPr="0015774B" w14:paraId="4F9CAD8D" w14:textId="77777777" w:rsidTr="560FA088">
        <w:tc>
          <w:tcPr>
            <w:tcW w:w="4337" w:type="dxa"/>
          </w:tcPr>
          <w:p w14:paraId="4DC3FEBB" w14:textId="12732ABC" w:rsidR="0055503D" w:rsidRPr="0015774B" w:rsidRDefault="002D65D6" w:rsidP="001056E8">
            <w:pPr>
              <w:pStyle w:val="Heading1"/>
              <w:contextualSpacing/>
              <w:outlineLvl w:val="0"/>
              <w:rPr>
                <w:rFonts w:ascii="Arial" w:eastAsia="Times New Roman" w:hAnsi="Arial" w:cs="Arial"/>
                <w:color w:val="auto"/>
                <w:sz w:val="22"/>
                <w:szCs w:val="22"/>
                <w:lang w:eastAsia="en-GB"/>
              </w:rPr>
            </w:pPr>
            <w:r w:rsidRPr="63C499E6">
              <w:rPr>
                <w:rFonts w:ascii="Arial" w:eastAsia="Times New Roman" w:hAnsi="Arial" w:cs="Arial"/>
                <w:color w:val="auto"/>
                <w:sz w:val="22"/>
                <w:szCs w:val="22"/>
                <w:lang w:eastAsia="en-GB"/>
              </w:rPr>
              <w:t>Regulatory Standards</w:t>
            </w:r>
            <w:r w:rsidR="00E54D76" w:rsidRPr="63C499E6">
              <w:rPr>
                <w:rFonts w:ascii="Arial" w:eastAsia="Times New Roman" w:hAnsi="Arial" w:cs="Arial"/>
                <w:color w:val="auto"/>
                <w:sz w:val="22"/>
                <w:szCs w:val="22"/>
                <w:lang w:eastAsia="en-GB"/>
              </w:rPr>
              <w:t xml:space="preserve"> (inc. PSRB)</w:t>
            </w:r>
          </w:p>
        </w:tc>
        <w:tc>
          <w:tcPr>
            <w:tcW w:w="2811" w:type="dxa"/>
          </w:tcPr>
          <w:p w14:paraId="65545A87" w14:textId="77777777" w:rsidR="0055503D" w:rsidRPr="0015774B" w:rsidRDefault="0055503D" w:rsidP="001056E8">
            <w:pPr>
              <w:pStyle w:val="Heading1"/>
              <w:contextualSpacing/>
              <w:outlineLvl w:val="0"/>
              <w:rPr>
                <w:rFonts w:ascii="Arial" w:eastAsia="Times New Roman" w:hAnsi="Arial" w:cs="Arial"/>
                <w:color w:val="auto"/>
                <w:sz w:val="22"/>
                <w:szCs w:val="22"/>
                <w:lang w:eastAsia="en-GB"/>
              </w:rPr>
            </w:pPr>
          </w:p>
          <w:p w14:paraId="731033B5" w14:textId="0947CB33" w:rsidR="00E54D76" w:rsidRPr="0015774B" w:rsidRDefault="00E54D76" w:rsidP="00BF2090">
            <w:pPr>
              <w:rPr>
                <w:rFonts w:ascii="Arial" w:hAnsi="Arial" w:cs="Arial"/>
                <w:lang w:eastAsia="en-GB"/>
              </w:rPr>
            </w:pPr>
            <w:r w:rsidRPr="00005CE4">
              <w:rPr>
                <w:rFonts w:ascii="Arial" w:hAnsi="Arial" w:cs="Arial"/>
                <w:lang w:eastAsia="en-GB"/>
              </w:rPr>
              <w:t>Academic Dept</w:t>
            </w:r>
          </w:p>
        </w:tc>
      </w:tr>
      <w:tr w:rsidR="0015774B" w:rsidRPr="0015774B" w14:paraId="6F1CE21E" w14:textId="77777777" w:rsidTr="560FA088">
        <w:tc>
          <w:tcPr>
            <w:tcW w:w="4337" w:type="dxa"/>
          </w:tcPr>
          <w:p w14:paraId="48BACB5F" w14:textId="2F3E3B93" w:rsidR="0055503D" w:rsidRPr="0015774B" w:rsidRDefault="00E54D76" w:rsidP="001056E8">
            <w:pPr>
              <w:pStyle w:val="Heading1"/>
              <w:contextualSpacing/>
              <w:outlineLvl w:val="0"/>
              <w:rPr>
                <w:rFonts w:ascii="Arial" w:eastAsia="Times New Roman" w:hAnsi="Arial" w:cs="Arial"/>
                <w:color w:val="auto"/>
                <w:sz w:val="22"/>
                <w:szCs w:val="22"/>
                <w:lang w:eastAsia="en-GB"/>
              </w:rPr>
            </w:pPr>
            <w:r w:rsidRPr="63C499E6">
              <w:rPr>
                <w:rFonts w:ascii="Arial" w:eastAsia="Times New Roman" w:hAnsi="Arial" w:cs="Arial"/>
                <w:color w:val="auto"/>
                <w:sz w:val="22"/>
                <w:szCs w:val="22"/>
                <w:lang w:eastAsia="en-GB"/>
              </w:rPr>
              <w:t xml:space="preserve">Assessment changes </w:t>
            </w:r>
            <w:r w:rsidR="00B22ED6" w:rsidRPr="63C499E6">
              <w:rPr>
                <w:rFonts w:ascii="Arial" w:eastAsia="Times New Roman" w:hAnsi="Arial" w:cs="Arial"/>
                <w:color w:val="auto"/>
                <w:sz w:val="22"/>
                <w:szCs w:val="22"/>
                <w:lang w:eastAsia="en-GB"/>
              </w:rPr>
              <w:t xml:space="preserve">for future years </w:t>
            </w:r>
            <w:r w:rsidR="00280E4B" w:rsidRPr="63C499E6">
              <w:rPr>
                <w:rFonts w:ascii="Arial" w:eastAsia="Times New Roman" w:hAnsi="Arial" w:cs="Arial"/>
                <w:color w:val="auto"/>
                <w:sz w:val="22"/>
                <w:szCs w:val="22"/>
                <w:lang w:eastAsia="en-GB"/>
              </w:rPr>
              <w:t>(</w:t>
            </w:r>
            <w:proofErr w:type="spellStart"/>
            <w:proofErr w:type="gramStart"/>
            <w:r w:rsidR="00280E4B" w:rsidRPr="63C499E6">
              <w:rPr>
                <w:rFonts w:ascii="Arial" w:eastAsia="Times New Roman" w:hAnsi="Arial" w:cs="Arial"/>
                <w:color w:val="auto"/>
                <w:sz w:val="22"/>
                <w:szCs w:val="22"/>
                <w:lang w:eastAsia="en-GB"/>
              </w:rPr>
              <w:t>no</w:t>
            </w:r>
            <w:r w:rsidR="00366C4B" w:rsidRPr="63C499E6">
              <w:rPr>
                <w:rFonts w:ascii="Arial" w:eastAsia="Times New Roman" w:hAnsi="Arial" w:cs="Arial"/>
                <w:color w:val="auto"/>
                <w:sz w:val="22"/>
                <w:szCs w:val="22"/>
                <w:lang w:eastAsia="en-GB"/>
              </w:rPr>
              <w:t>n</w:t>
            </w:r>
            <w:r w:rsidR="00280E4B" w:rsidRPr="63C499E6">
              <w:rPr>
                <w:rFonts w:ascii="Arial" w:eastAsia="Times New Roman" w:hAnsi="Arial" w:cs="Arial"/>
                <w:color w:val="auto"/>
                <w:sz w:val="22"/>
                <w:szCs w:val="22"/>
                <w:lang w:eastAsia="en-GB"/>
              </w:rPr>
              <w:t xml:space="preserve"> material</w:t>
            </w:r>
            <w:proofErr w:type="spellEnd"/>
            <w:proofErr w:type="gramEnd"/>
            <w:r w:rsidR="00280E4B" w:rsidRPr="63C499E6">
              <w:rPr>
                <w:rFonts w:ascii="Arial" w:eastAsia="Times New Roman" w:hAnsi="Arial" w:cs="Arial"/>
                <w:color w:val="auto"/>
                <w:sz w:val="22"/>
                <w:szCs w:val="22"/>
                <w:lang w:eastAsia="en-GB"/>
              </w:rPr>
              <w:t xml:space="preserve"> changes)</w:t>
            </w:r>
          </w:p>
        </w:tc>
        <w:tc>
          <w:tcPr>
            <w:tcW w:w="2811" w:type="dxa"/>
          </w:tcPr>
          <w:p w14:paraId="32DFC349" w14:textId="17D586A9" w:rsidR="0055503D" w:rsidRPr="0015774B" w:rsidRDefault="0055503D" w:rsidP="001056E8">
            <w:pPr>
              <w:pStyle w:val="Heading1"/>
              <w:contextualSpacing/>
              <w:outlineLvl w:val="0"/>
              <w:rPr>
                <w:rFonts w:ascii="Arial" w:eastAsia="Times New Roman" w:hAnsi="Arial" w:cs="Arial"/>
                <w:color w:val="auto"/>
                <w:sz w:val="22"/>
                <w:szCs w:val="22"/>
                <w:lang w:eastAsia="en-GB"/>
              </w:rPr>
            </w:pPr>
          </w:p>
          <w:p w14:paraId="4118CA7D" w14:textId="17E56DAA" w:rsidR="00366C4B" w:rsidRPr="0015774B" w:rsidRDefault="00366C4B" w:rsidP="00BF2090">
            <w:pPr>
              <w:rPr>
                <w:rFonts w:ascii="Arial" w:hAnsi="Arial" w:cs="Arial"/>
                <w:highlight w:val="yellow"/>
                <w:lang w:eastAsia="en-GB"/>
              </w:rPr>
            </w:pPr>
            <w:r w:rsidRPr="00176F39">
              <w:rPr>
                <w:rFonts w:ascii="Arial" w:hAnsi="Arial" w:cs="Arial"/>
                <w:lang w:eastAsia="en-GB"/>
              </w:rPr>
              <w:t>Academic Dept</w:t>
            </w:r>
          </w:p>
        </w:tc>
      </w:tr>
      <w:tr w:rsidR="560FA088" w14:paraId="3A99FEDB" w14:textId="77777777" w:rsidTr="560FA088">
        <w:tc>
          <w:tcPr>
            <w:tcW w:w="4337" w:type="dxa"/>
          </w:tcPr>
          <w:p w14:paraId="7C8B1C68" w14:textId="4823DBA1" w:rsidR="560FA088" w:rsidRDefault="560FA088" w:rsidP="560FA088">
            <w:pPr>
              <w:pStyle w:val="Heading1"/>
              <w:outlineLvl w:val="0"/>
              <w:rPr>
                <w:rFonts w:ascii="Arial" w:eastAsia="Arial" w:hAnsi="Arial" w:cs="Arial"/>
                <w:color w:val="auto"/>
                <w:sz w:val="22"/>
                <w:szCs w:val="22"/>
                <w:lang w:eastAsia="en-GB"/>
              </w:rPr>
            </w:pPr>
            <w:r w:rsidRPr="560FA088">
              <w:rPr>
                <w:rFonts w:ascii="Arial" w:eastAsia="Arial" w:hAnsi="Arial" w:cs="Arial"/>
                <w:color w:val="auto"/>
                <w:sz w:val="22"/>
                <w:szCs w:val="22"/>
                <w:lang w:eastAsia="en-GB"/>
              </w:rPr>
              <w:t xml:space="preserve">Creation of a new delivery start date </w:t>
            </w:r>
          </w:p>
        </w:tc>
        <w:tc>
          <w:tcPr>
            <w:tcW w:w="2811" w:type="dxa"/>
          </w:tcPr>
          <w:p w14:paraId="2F2E2483" w14:textId="5AD638C4" w:rsidR="560FA088" w:rsidRDefault="560FA088" w:rsidP="560FA088">
            <w:pPr>
              <w:pStyle w:val="Heading1"/>
              <w:outlineLvl w:val="0"/>
              <w:rPr>
                <w:rFonts w:ascii="Arial" w:eastAsia="Arial" w:hAnsi="Arial" w:cs="Arial"/>
                <w:color w:val="auto"/>
                <w:sz w:val="22"/>
                <w:szCs w:val="22"/>
                <w:lang w:eastAsia="en-GB"/>
              </w:rPr>
            </w:pPr>
            <w:r w:rsidRPr="560FA088">
              <w:rPr>
                <w:rFonts w:ascii="Arial" w:eastAsia="Arial" w:hAnsi="Arial" w:cs="Arial"/>
                <w:color w:val="auto"/>
                <w:sz w:val="22"/>
                <w:szCs w:val="22"/>
                <w:lang w:eastAsia="en-GB"/>
              </w:rPr>
              <w:t>Academic Dept</w:t>
            </w:r>
          </w:p>
        </w:tc>
      </w:tr>
    </w:tbl>
    <w:p w14:paraId="2C059C97" w14:textId="77777777" w:rsidR="004B18D5" w:rsidRDefault="004B18D5" w:rsidP="001056E8">
      <w:pPr>
        <w:pStyle w:val="Heading1"/>
        <w:spacing w:line="240" w:lineRule="auto"/>
        <w:ind w:left="360"/>
        <w:contextualSpacing/>
        <w:rPr>
          <w:rFonts w:ascii="Arial" w:eastAsia="Times New Roman" w:hAnsi="Arial" w:cs="Arial"/>
          <w:color w:val="414042"/>
          <w:sz w:val="22"/>
          <w:szCs w:val="22"/>
          <w:lang w:eastAsia="en-GB"/>
        </w:rPr>
      </w:pPr>
    </w:p>
    <w:p w14:paraId="67E28FB6" w14:textId="2346FB01" w:rsidR="00F63BC6" w:rsidRPr="00F63BC6" w:rsidRDefault="00F63BC6" w:rsidP="001056E8">
      <w:pPr>
        <w:pStyle w:val="Heading1"/>
        <w:spacing w:line="240" w:lineRule="auto"/>
        <w:ind w:left="360"/>
        <w:contextualSpacing/>
        <w:rPr>
          <w:rFonts w:ascii="Arial" w:eastAsia="Times New Roman" w:hAnsi="Arial" w:cs="Arial"/>
          <w:sz w:val="22"/>
          <w:szCs w:val="22"/>
          <w:lang w:eastAsia="en-GB"/>
        </w:rPr>
      </w:pPr>
      <w:r w:rsidRPr="28C1A73D">
        <w:rPr>
          <w:rFonts w:ascii="Arial" w:eastAsia="Times New Roman" w:hAnsi="Arial" w:cs="Arial"/>
          <w:color w:val="414042"/>
          <w:sz w:val="22"/>
          <w:szCs w:val="22"/>
          <w:lang w:eastAsia="en-GB"/>
        </w:rPr>
        <w:t xml:space="preserve">If </w:t>
      </w:r>
      <w:r w:rsidR="009E02E8" w:rsidRPr="28C1A73D">
        <w:rPr>
          <w:rFonts w:ascii="Arial" w:eastAsia="Times New Roman" w:hAnsi="Arial" w:cs="Arial"/>
          <w:color w:val="414042"/>
          <w:sz w:val="22"/>
          <w:szCs w:val="22"/>
          <w:lang w:eastAsia="en-GB"/>
        </w:rPr>
        <w:t xml:space="preserve">material </w:t>
      </w:r>
      <w:r w:rsidRPr="28C1A73D">
        <w:rPr>
          <w:rFonts w:ascii="Arial" w:eastAsia="Times New Roman" w:hAnsi="Arial" w:cs="Arial"/>
          <w:color w:val="414042"/>
          <w:sz w:val="22"/>
          <w:szCs w:val="22"/>
          <w:lang w:eastAsia="en-GB"/>
        </w:rPr>
        <w:t xml:space="preserve">changes </w:t>
      </w:r>
      <w:r w:rsidR="002C64DA" w:rsidRPr="28C1A73D">
        <w:rPr>
          <w:rFonts w:ascii="Arial" w:eastAsia="Times New Roman" w:hAnsi="Arial" w:cs="Arial"/>
          <w:color w:val="414042"/>
          <w:sz w:val="22"/>
          <w:szCs w:val="22"/>
          <w:lang w:eastAsia="en-GB"/>
        </w:rPr>
        <w:t xml:space="preserve">are </w:t>
      </w:r>
      <w:r w:rsidRPr="28C1A73D">
        <w:rPr>
          <w:rFonts w:ascii="Arial" w:eastAsia="Times New Roman" w:hAnsi="Arial" w:cs="Arial"/>
          <w:color w:val="414042"/>
          <w:sz w:val="22"/>
          <w:szCs w:val="22"/>
          <w:lang w:eastAsia="en-GB"/>
        </w:rPr>
        <w:t xml:space="preserve">made </w:t>
      </w:r>
      <w:r w:rsidR="002C64DA" w:rsidRPr="28C1A73D">
        <w:rPr>
          <w:rFonts w:ascii="Arial" w:eastAsia="Times New Roman" w:hAnsi="Arial" w:cs="Arial"/>
          <w:color w:val="414042"/>
          <w:sz w:val="22"/>
          <w:szCs w:val="22"/>
          <w:lang w:eastAsia="en-GB"/>
        </w:rPr>
        <w:t xml:space="preserve">before </w:t>
      </w:r>
      <w:r w:rsidR="00A33FEB" w:rsidRPr="28C1A73D">
        <w:rPr>
          <w:rFonts w:ascii="Arial" w:eastAsia="Times New Roman" w:hAnsi="Arial" w:cs="Arial"/>
          <w:color w:val="414042"/>
          <w:sz w:val="22"/>
          <w:szCs w:val="22"/>
          <w:lang w:eastAsia="en-GB"/>
        </w:rPr>
        <w:t xml:space="preserve">a </w:t>
      </w:r>
      <w:r w:rsidR="002C64DA" w:rsidRPr="28C1A73D">
        <w:rPr>
          <w:rFonts w:ascii="Arial" w:eastAsia="Times New Roman" w:hAnsi="Arial" w:cs="Arial"/>
          <w:color w:val="414042"/>
          <w:sz w:val="22"/>
          <w:szCs w:val="22"/>
          <w:lang w:eastAsia="en-GB"/>
        </w:rPr>
        <w:t>programme</w:t>
      </w:r>
      <w:r w:rsidR="00A33FEB" w:rsidRPr="28C1A73D">
        <w:rPr>
          <w:rFonts w:ascii="Arial" w:eastAsia="Times New Roman" w:hAnsi="Arial" w:cs="Arial"/>
          <w:color w:val="414042"/>
          <w:sz w:val="22"/>
          <w:szCs w:val="22"/>
          <w:lang w:eastAsia="en-GB"/>
        </w:rPr>
        <w:t xml:space="preserve"> is </w:t>
      </w:r>
      <w:r w:rsidR="002C64DA" w:rsidRPr="28C1A73D">
        <w:rPr>
          <w:rFonts w:ascii="Arial" w:eastAsia="Times New Roman" w:hAnsi="Arial" w:cs="Arial"/>
          <w:color w:val="414042"/>
          <w:sz w:val="22"/>
          <w:szCs w:val="22"/>
          <w:lang w:eastAsia="en-GB"/>
        </w:rPr>
        <w:t xml:space="preserve">open for application and therefore </w:t>
      </w:r>
      <w:r w:rsidRPr="28C1A73D">
        <w:rPr>
          <w:rFonts w:ascii="Arial" w:eastAsia="Times New Roman" w:hAnsi="Arial" w:cs="Arial"/>
          <w:color w:val="414042"/>
          <w:sz w:val="22"/>
          <w:szCs w:val="22"/>
          <w:lang w:eastAsia="en-GB"/>
        </w:rPr>
        <w:t xml:space="preserve">will only affect </w:t>
      </w:r>
      <w:r w:rsidR="00200073" w:rsidRPr="28C1A73D">
        <w:rPr>
          <w:rFonts w:ascii="Arial" w:eastAsia="Times New Roman" w:hAnsi="Arial" w:cs="Arial"/>
          <w:color w:val="414042"/>
          <w:sz w:val="22"/>
          <w:szCs w:val="22"/>
          <w:lang w:eastAsia="en-GB"/>
        </w:rPr>
        <w:t>applicants</w:t>
      </w:r>
      <w:r w:rsidRPr="28C1A73D">
        <w:rPr>
          <w:rFonts w:ascii="Arial" w:eastAsia="Times New Roman" w:hAnsi="Arial" w:cs="Arial"/>
          <w:color w:val="414042"/>
          <w:sz w:val="22"/>
          <w:szCs w:val="22"/>
          <w:lang w:eastAsia="en-GB"/>
        </w:rPr>
        <w:t xml:space="preserve"> who have not yet been offered a place</w:t>
      </w:r>
      <w:r w:rsidR="00A33FEB" w:rsidRPr="28C1A73D">
        <w:rPr>
          <w:rFonts w:ascii="Arial" w:eastAsia="Times New Roman" w:hAnsi="Arial" w:cs="Arial"/>
          <w:color w:val="414042"/>
          <w:sz w:val="22"/>
          <w:szCs w:val="22"/>
          <w:lang w:eastAsia="en-GB"/>
        </w:rPr>
        <w:t xml:space="preserve"> or prospective applicants</w:t>
      </w:r>
      <w:r w:rsidRPr="28C1A73D">
        <w:rPr>
          <w:rFonts w:ascii="Arial" w:eastAsia="Times New Roman" w:hAnsi="Arial" w:cs="Arial"/>
          <w:color w:val="414042"/>
          <w:sz w:val="22"/>
          <w:szCs w:val="22"/>
          <w:lang w:eastAsia="en-GB"/>
        </w:rPr>
        <w:t xml:space="preserve">, </w:t>
      </w:r>
      <w:r w:rsidR="00844F44" w:rsidRPr="28C1A73D">
        <w:rPr>
          <w:rFonts w:ascii="Arial" w:eastAsia="Times New Roman" w:hAnsi="Arial" w:cs="Arial"/>
          <w:color w:val="414042"/>
          <w:sz w:val="22"/>
          <w:szCs w:val="22"/>
          <w:lang w:eastAsia="en-GB"/>
        </w:rPr>
        <w:t xml:space="preserve">Academic </w:t>
      </w:r>
      <w:r w:rsidR="009E02E8" w:rsidRPr="28C1A73D">
        <w:rPr>
          <w:rFonts w:ascii="Arial" w:eastAsia="Times New Roman" w:hAnsi="Arial" w:cs="Arial"/>
          <w:color w:val="414042"/>
          <w:sz w:val="22"/>
          <w:szCs w:val="22"/>
          <w:lang w:eastAsia="en-GB"/>
        </w:rPr>
        <w:t>R</w:t>
      </w:r>
      <w:r w:rsidR="00844F44" w:rsidRPr="28C1A73D">
        <w:rPr>
          <w:rFonts w:ascii="Arial" w:eastAsia="Times New Roman" w:hAnsi="Arial" w:cs="Arial"/>
          <w:color w:val="414042"/>
          <w:sz w:val="22"/>
          <w:szCs w:val="22"/>
          <w:lang w:eastAsia="en-GB"/>
        </w:rPr>
        <w:t>egistry</w:t>
      </w:r>
      <w:r w:rsidRPr="28C1A73D">
        <w:rPr>
          <w:rFonts w:ascii="Arial" w:eastAsia="Times New Roman" w:hAnsi="Arial" w:cs="Arial"/>
          <w:color w:val="414042"/>
          <w:sz w:val="22"/>
          <w:szCs w:val="22"/>
          <w:lang w:eastAsia="en-GB"/>
        </w:rPr>
        <w:t xml:space="preserve"> should </w:t>
      </w:r>
      <w:r w:rsidR="00844F44" w:rsidRPr="28C1A73D">
        <w:rPr>
          <w:rFonts w:ascii="Arial" w:eastAsia="Times New Roman" w:hAnsi="Arial" w:cs="Arial"/>
          <w:color w:val="414042"/>
          <w:sz w:val="22"/>
          <w:szCs w:val="22"/>
          <w:lang w:eastAsia="en-GB"/>
        </w:rPr>
        <w:t xml:space="preserve">notify </w:t>
      </w:r>
      <w:r w:rsidR="00BE414E" w:rsidRPr="28C1A73D">
        <w:rPr>
          <w:rFonts w:ascii="Arial" w:eastAsia="Times New Roman" w:hAnsi="Arial" w:cs="Arial"/>
          <w:color w:val="414042"/>
          <w:sz w:val="22"/>
          <w:szCs w:val="22"/>
          <w:lang w:eastAsia="en-GB"/>
        </w:rPr>
        <w:t>Marketing</w:t>
      </w:r>
      <w:r w:rsidR="009E61BE" w:rsidRPr="28C1A73D">
        <w:rPr>
          <w:rFonts w:ascii="Arial" w:eastAsia="Times New Roman" w:hAnsi="Arial" w:cs="Arial"/>
          <w:color w:val="414042"/>
          <w:sz w:val="22"/>
          <w:szCs w:val="22"/>
          <w:lang w:eastAsia="en-GB"/>
        </w:rPr>
        <w:t xml:space="preserve"> </w:t>
      </w:r>
      <w:r w:rsidR="00BE414E" w:rsidRPr="28C1A73D">
        <w:rPr>
          <w:rFonts w:ascii="Arial" w:eastAsia="Times New Roman" w:hAnsi="Arial" w:cs="Arial"/>
          <w:color w:val="414042"/>
          <w:sz w:val="22"/>
          <w:szCs w:val="22"/>
          <w:lang w:eastAsia="en-GB"/>
        </w:rPr>
        <w:t>(</w:t>
      </w:r>
      <w:r w:rsidR="00833851">
        <w:rPr>
          <w:rFonts w:ascii="Arial" w:eastAsia="Times New Roman" w:hAnsi="Arial" w:cs="Arial"/>
          <w:color w:val="414042"/>
          <w:sz w:val="22"/>
          <w:szCs w:val="22"/>
          <w:lang w:eastAsia="en-GB"/>
        </w:rPr>
        <w:t>GM&amp;B</w:t>
      </w:r>
      <w:r w:rsidR="00BE414E" w:rsidRPr="28C1A73D">
        <w:rPr>
          <w:rFonts w:ascii="Arial" w:eastAsia="Times New Roman" w:hAnsi="Arial" w:cs="Arial"/>
          <w:color w:val="414042"/>
          <w:sz w:val="22"/>
          <w:szCs w:val="22"/>
          <w:lang w:eastAsia="en-GB"/>
        </w:rPr>
        <w:t xml:space="preserve">) to ensure marketing </w:t>
      </w:r>
      <w:r w:rsidRPr="28C1A73D">
        <w:rPr>
          <w:rFonts w:ascii="Arial" w:eastAsia="Times New Roman" w:hAnsi="Arial" w:cs="Arial"/>
          <w:color w:val="414042"/>
          <w:sz w:val="22"/>
          <w:szCs w:val="22"/>
          <w:lang w:eastAsia="en-GB"/>
        </w:rPr>
        <w:t>information has been updated to reflect the changes.</w:t>
      </w:r>
    </w:p>
    <w:p w14:paraId="49679387" w14:textId="24F1F36D" w:rsidR="60F77317" w:rsidRDefault="60F77317" w:rsidP="60F77317"/>
    <w:p w14:paraId="79B01580" w14:textId="0B98DB97" w:rsidR="00F63BC6" w:rsidRDefault="00F63BC6" w:rsidP="0F7D8D94">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r w:rsidRPr="00F63BC6">
        <w:rPr>
          <w:rFonts w:ascii="Arial" w:eastAsia="Times New Roman" w:hAnsi="Arial" w:cs="Arial"/>
          <w:color w:val="414042"/>
          <w:lang w:eastAsia="en-GB"/>
        </w:rPr>
        <w:t xml:space="preserve">If any </w:t>
      </w:r>
      <w:r w:rsidR="00FF08DC">
        <w:rPr>
          <w:rFonts w:ascii="Arial" w:eastAsia="Times New Roman" w:hAnsi="Arial" w:cs="Arial"/>
          <w:color w:val="414042"/>
          <w:lang w:eastAsia="en-GB"/>
        </w:rPr>
        <w:t>material</w:t>
      </w:r>
      <w:r w:rsidRPr="00F63BC6">
        <w:rPr>
          <w:rFonts w:ascii="Arial" w:eastAsia="Times New Roman" w:hAnsi="Arial" w:cs="Arial"/>
          <w:color w:val="414042"/>
          <w:lang w:eastAsia="en-GB"/>
        </w:rPr>
        <w:t xml:space="preserve"> changes have been approved after a</w:t>
      </w:r>
      <w:r w:rsidR="00BE414E" w:rsidRPr="00EA7283">
        <w:rPr>
          <w:rFonts w:ascii="Arial" w:eastAsia="Times New Roman" w:hAnsi="Arial" w:cs="Arial"/>
          <w:color w:val="414042"/>
          <w:lang w:eastAsia="en-GB"/>
        </w:rPr>
        <w:t xml:space="preserve">n applicant </w:t>
      </w:r>
      <w:r w:rsidRPr="00F63BC6">
        <w:rPr>
          <w:rFonts w:ascii="Arial" w:eastAsia="Times New Roman" w:hAnsi="Arial" w:cs="Arial"/>
          <w:color w:val="414042"/>
          <w:lang w:eastAsia="en-GB"/>
        </w:rPr>
        <w:t>has been offered a place (</w:t>
      </w:r>
      <w:proofErr w:type="gramStart"/>
      <w:r w:rsidR="00490AA7" w:rsidRPr="00F63BC6">
        <w:rPr>
          <w:rFonts w:ascii="Arial" w:eastAsia="Times New Roman" w:hAnsi="Arial" w:cs="Arial"/>
          <w:color w:val="414042"/>
          <w:lang w:eastAsia="en-GB"/>
        </w:rPr>
        <w:t>i.e.</w:t>
      </w:r>
      <w:proofErr w:type="gramEnd"/>
      <w:r w:rsidRPr="00F63BC6">
        <w:rPr>
          <w:rFonts w:ascii="Arial" w:eastAsia="Times New Roman" w:hAnsi="Arial" w:cs="Arial"/>
          <w:color w:val="414042"/>
          <w:lang w:eastAsia="en-GB"/>
        </w:rPr>
        <w:t xml:space="preserve"> via UCAS) but before they become </w:t>
      </w:r>
      <w:r w:rsidR="00D64E4D" w:rsidRPr="00F63BC6">
        <w:rPr>
          <w:rFonts w:ascii="Arial" w:eastAsia="Times New Roman" w:hAnsi="Arial" w:cs="Arial"/>
          <w:color w:val="414042"/>
          <w:lang w:eastAsia="en-GB"/>
        </w:rPr>
        <w:t>an</w:t>
      </w:r>
      <w:r w:rsidRPr="00F63BC6">
        <w:rPr>
          <w:rFonts w:ascii="Arial" w:eastAsia="Times New Roman" w:hAnsi="Arial" w:cs="Arial"/>
          <w:color w:val="414042"/>
          <w:lang w:eastAsia="en-GB"/>
        </w:rPr>
        <w:t xml:space="preserve"> </w:t>
      </w:r>
      <w:r w:rsidR="00BE414E" w:rsidRPr="00EA7283">
        <w:rPr>
          <w:rFonts w:ascii="Arial" w:eastAsia="Times New Roman" w:hAnsi="Arial" w:cs="Arial"/>
          <w:color w:val="414042"/>
          <w:lang w:eastAsia="en-GB"/>
        </w:rPr>
        <w:t>enrolled</w:t>
      </w:r>
      <w:r w:rsidRPr="00F63BC6">
        <w:rPr>
          <w:rFonts w:ascii="Arial" w:eastAsia="Times New Roman" w:hAnsi="Arial" w:cs="Arial"/>
          <w:color w:val="414042"/>
          <w:lang w:eastAsia="en-GB"/>
        </w:rPr>
        <w:t xml:space="preserve"> student</w:t>
      </w:r>
      <w:r w:rsidR="009E02E8">
        <w:rPr>
          <w:rFonts w:ascii="Arial" w:eastAsia="Times New Roman" w:hAnsi="Arial" w:cs="Arial"/>
          <w:color w:val="414042"/>
          <w:lang w:eastAsia="en-GB"/>
        </w:rPr>
        <w:t>,</w:t>
      </w:r>
      <w:r w:rsidRPr="00F63BC6">
        <w:rPr>
          <w:rFonts w:ascii="Arial" w:eastAsia="Times New Roman" w:hAnsi="Arial" w:cs="Arial"/>
          <w:color w:val="414042"/>
          <w:lang w:eastAsia="en-GB"/>
        </w:rPr>
        <w:t xml:space="preserve"> the nature of the change should be communicated to them.</w:t>
      </w:r>
      <w:r w:rsidR="00D128FF">
        <w:rPr>
          <w:rStyle w:val="FootnoteReference"/>
          <w:rFonts w:ascii="Arial" w:eastAsia="Times New Roman" w:hAnsi="Arial" w:cs="Arial"/>
          <w:color w:val="414042"/>
          <w:lang w:eastAsia="en-GB"/>
        </w:rPr>
        <w:footnoteReference w:id="2"/>
      </w:r>
      <w:r w:rsidR="00992192">
        <w:rPr>
          <w:rFonts w:ascii="Arial" w:eastAsia="Times New Roman" w:hAnsi="Arial" w:cs="Arial"/>
          <w:color w:val="414042"/>
          <w:lang w:eastAsia="en-GB"/>
        </w:rPr>
        <w:t xml:space="preserve">  </w:t>
      </w:r>
    </w:p>
    <w:p w14:paraId="50EC2FB9" w14:textId="77777777" w:rsidR="00DA651B" w:rsidRDefault="00DA651B" w:rsidP="0F7D8D94">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p>
    <w:p w14:paraId="29440604" w14:textId="3922EEBB" w:rsidR="00DA651B" w:rsidRDefault="00DA651B" w:rsidP="3D591E5D">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r w:rsidRPr="63C499E6">
        <w:rPr>
          <w:rFonts w:ascii="Arial" w:eastAsia="Times New Roman" w:hAnsi="Arial" w:cs="Arial"/>
          <w:color w:val="414042"/>
          <w:lang w:eastAsia="en-GB"/>
        </w:rPr>
        <w:t xml:space="preserve">Communication to applicants will be </w:t>
      </w:r>
      <w:r w:rsidR="0DE0617D" w:rsidRPr="63C499E6">
        <w:rPr>
          <w:rFonts w:ascii="Arial" w:eastAsia="Times New Roman" w:hAnsi="Arial" w:cs="Arial"/>
          <w:color w:val="414042"/>
          <w:lang w:eastAsia="en-GB"/>
        </w:rPr>
        <w:t>sent</w:t>
      </w:r>
      <w:r w:rsidRPr="63C499E6">
        <w:rPr>
          <w:rFonts w:ascii="Arial" w:eastAsia="Times New Roman" w:hAnsi="Arial" w:cs="Arial"/>
          <w:color w:val="414042"/>
          <w:lang w:eastAsia="en-GB"/>
        </w:rPr>
        <w:t xml:space="preserve"> </w:t>
      </w:r>
      <w:r w:rsidR="00187882" w:rsidRPr="63C499E6">
        <w:rPr>
          <w:rFonts w:ascii="Arial" w:eastAsia="Times New Roman" w:hAnsi="Arial" w:cs="Arial"/>
          <w:color w:val="414042"/>
          <w:lang w:eastAsia="en-GB"/>
        </w:rPr>
        <w:t xml:space="preserve">by </w:t>
      </w:r>
      <w:r w:rsidR="00833851" w:rsidRPr="63C499E6">
        <w:rPr>
          <w:rFonts w:ascii="Arial" w:eastAsia="Times New Roman" w:hAnsi="Arial" w:cs="Arial"/>
          <w:color w:val="414042"/>
          <w:lang w:eastAsia="en-GB"/>
        </w:rPr>
        <w:t>GM&amp;B</w:t>
      </w:r>
      <w:r w:rsidR="00187882" w:rsidRPr="63C499E6">
        <w:rPr>
          <w:rFonts w:ascii="Arial" w:eastAsia="Times New Roman" w:hAnsi="Arial" w:cs="Arial"/>
          <w:color w:val="414042"/>
          <w:lang w:eastAsia="en-GB"/>
        </w:rPr>
        <w:t xml:space="preserve"> (</w:t>
      </w:r>
      <w:r w:rsidR="00185894" w:rsidRPr="63C499E6">
        <w:rPr>
          <w:rFonts w:ascii="Arial" w:eastAsia="Times New Roman" w:hAnsi="Arial" w:cs="Arial"/>
          <w:color w:val="414042"/>
          <w:lang w:eastAsia="en-GB"/>
        </w:rPr>
        <w:t>Applicant Services</w:t>
      </w:r>
      <w:r w:rsidR="00187882" w:rsidRPr="63C499E6">
        <w:rPr>
          <w:rFonts w:ascii="Arial" w:eastAsia="Times New Roman" w:hAnsi="Arial" w:cs="Arial"/>
          <w:color w:val="414042"/>
          <w:lang w:eastAsia="en-GB"/>
        </w:rPr>
        <w:t xml:space="preserve">), upon receipt of approved material changes </w:t>
      </w:r>
      <w:r w:rsidR="2D90121E" w:rsidRPr="63C499E6">
        <w:rPr>
          <w:rFonts w:ascii="Arial" w:eastAsia="Times New Roman" w:hAnsi="Arial" w:cs="Arial"/>
          <w:color w:val="414042"/>
          <w:lang w:eastAsia="en-GB"/>
        </w:rPr>
        <w:t xml:space="preserve">and the reason why </w:t>
      </w:r>
      <w:r w:rsidR="00187882" w:rsidRPr="63C499E6">
        <w:rPr>
          <w:rFonts w:ascii="Arial" w:eastAsia="Times New Roman" w:hAnsi="Arial" w:cs="Arial"/>
          <w:color w:val="414042"/>
          <w:lang w:eastAsia="en-GB"/>
        </w:rPr>
        <w:t xml:space="preserve">from Academic Registry. </w:t>
      </w:r>
      <w:r w:rsidR="00BF21E9" w:rsidRPr="63C499E6">
        <w:rPr>
          <w:rFonts w:ascii="Arial" w:eastAsia="Times New Roman" w:hAnsi="Arial" w:cs="Arial"/>
          <w:color w:val="414042"/>
          <w:lang w:eastAsia="en-GB"/>
        </w:rPr>
        <w:t>Offer letters will be re-issued where appropriate, and applicants will be offered the option of applying to an alternative programme, if one is available.</w:t>
      </w:r>
    </w:p>
    <w:p w14:paraId="7839C517" w14:textId="091F15CF" w:rsidR="004A0D68" w:rsidRDefault="004A0D68" w:rsidP="001056E8">
      <w:pPr>
        <w:shd w:val="clear" w:color="auto" w:fill="FFFFFF"/>
        <w:spacing w:before="100" w:beforeAutospacing="1" w:after="100" w:afterAutospacing="1" w:line="240" w:lineRule="auto"/>
        <w:ind w:left="360"/>
        <w:contextualSpacing/>
        <w:rPr>
          <w:rFonts w:ascii="Arial" w:eastAsia="Times New Roman" w:hAnsi="Arial" w:cs="Arial"/>
          <w:color w:val="414042"/>
          <w:lang w:eastAsia="en-GB"/>
        </w:rPr>
      </w:pPr>
    </w:p>
    <w:p w14:paraId="08944EE4" w14:textId="6B246E9D" w:rsidR="00856C67" w:rsidRPr="00176F39" w:rsidRDefault="00856C67" w:rsidP="63C499E6">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r w:rsidRPr="00176F39">
        <w:rPr>
          <w:rFonts w:ascii="Arial" w:eastAsia="Times New Roman" w:hAnsi="Arial" w:cs="Arial"/>
          <w:color w:val="414042"/>
          <w:lang w:eastAsia="en-GB"/>
        </w:rPr>
        <w:lastRenderedPageBreak/>
        <w:t>If changes are the result of</w:t>
      </w:r>
      <w:r w:rsidR="005A453E" w:rsidRPr="00176F39">
        <w:rPr>
          <w:rFonts w:ascii="Arial" w:eastAsia="Times New Roman" w:hAnsi="Arial" w:cs="Arial"/>
          <w:color w:val="414042"/>
          <w:lang w:eastAsia="en-GB"/>
        </w:rPr>
        <w:t xml:space="preserve"> an external regulatory or quality standard change, </w:t>
      </w:r>
      <w:r w:rsidR="00A833CB" w:rsidRPr="00176F39">
        <w:rPr>
          <w:rFonts w:ascii="Arial" w:eastAsia="Times New Roman" w:hAnsi="Arial" w:cs="Arial"/>
          <w:color w:val="414042"/>
          <w:lang w:eastAsia="en-GB"/>
        </w:rPr>
        <w:t>enrolled student and applicants shoul</w:t>
      </w:r>
      <w:r w:rsidR="00446F5F" w:rsidRPr="00176F39">
        <w:rPr>
          <w:rFonts w:ascii="Arial" w:eastAsia="Times New Roman" w:hAnsi="Arial" w:cs="Arial"/>
          <w:color w:val="414042"/>
          <w:lang w:eastAsia="en-GB"/>
        </w:rPr>
        <w:t>d be informed of this at the earliest opportunity.</w:t>
      </w:r>
    </w:p>
    <w:p w14:paraId="62E76D7C" w14:textId="77777777" w:rsidR="00223F51" w:rsidRDefault="00223F51" w:rsidP="63C499E6">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highlight w:val="yellow"/>
          <w:lang w:eastAsia="en-GB"/>
        </w:rPr>
      </w:pPr>
    </w:p>
    <w:p w14:paraId="67A658C3" w14:textId="7CF3EE4C" w:rsidR="004A0D68" w:rsidRPr="00176F39" w:rsidRDefault="00223F51" w:rsidP="63C499E6">
      <w:pPr>
        <w:shd w:val="clear" w:color="auto" w:fill="FFFFFF" w:themeFill="background1"/>
        <w:spacing w:before="100" w:beforeAutospacing="1" w:after="100" w:afterAutospacing="1" w:line="240" w:lineRule="auto"/>
        <w:ind w:left="360"/>
        <w:contextualSpacing/>
        <w:rPr>
          <w:rFonts w:ascii="Arial" w:eastAsia="Times New Roman" w:hAnsi="Arial" w:cs="Arial"/>
          <w:color w:val="414042"/>
          <w:lang w:eastAsia="en-GB"/>
        </w:rPr>
      </w:pPr>
      <w:r w:rsidRPr="00176F39">
        <w:rPr>
          <w:rFonts w:ascii="Arial" w:eastAsia="Times New Roman" w:hAnsi="Arial" w:cs="Arial"/>
          <w:color w:val="414042"/>
          <w:lang w:eastAsia="en-GB"/>
        </w:rPr>
        <w:t xml:space="preserve">If changes are non-material assessment changes for future years of delivery, these </w:t>
      </w:r>
      <w:r w:rsidR="001E71A4" w:rsidRPr="00176F39">
        <w:rPr>
          <w:rFonts w:ascii="Arial" w:eastAsia="Times New Roman" w:hAnsi="Arial" w:cs="Arial"/>
          <w:color w:val="414042"/>
          <w:lang w:eastAsia="en-GB"/>
        </w:rPr>
        <w:t>should be conveyed to students at the earliest opportunity. If assessment changes are more significant or in-year, please refer to 4.</w:t>
      </w:r>
      <w:r w:rsidR="001A761B" w:rsidRPr="00176F39">
        <w:rPr>
          <w:rFonts w:ascii="Arial" w:eastAsia="Times New Roman" w:hAnsi="Arial" w:cs="Arial"/>
          <w:color w:val="414042"/>
          <w:lang w:eastAsia="en-GB"/>
        </w:rPr>
        <w:t>3</w:t>
      </w:r>
      <w:r w:rsidR="001E71A4" w:rsidRPr="00176F39">
        <w:rPr>
          <w:rFonts w:ascii="Arial" w:eastAsia="Times New Roman" w:hAnsi="Arial" w:cs="Arial"/>
          <w:color w:val="414042"/>
          <w:lang w:eastAsia="en-GB"/>
        </w:rPr>
        <w:t>.</w:t>
      </w:r>
    </w:p>
    <w:p w14:paraId="5B13727D" w14:textId="77777777" w:rsidR="009F32DC" w:rsidRDefault="009F32DC" w:rsidP="001056E8">
      <w:pPr>
        <w:pStyle w:val="Heading1"/>
        <w:spacing w:line="240" w:lineRule="auto"/>
        <w:ind w:left="360"/>
        <w:contextualSpacing/>
        <w:rPr>
          <w:rFonts w:ascii="Arial" w:eastAsia="Times New Roman" w:hAnsi="Arial" w:cs="Arial"/>
          <w:sz w:val="22"/>
          <w:szCs w:val="22"/>
          <w:lang w:eastAsia="en-GB"/>
        </w:rPr>
      </w:pPr>
      <w:r w:rsidRPr="009F32DC">
        <w:rPr>
          <w:rFonts w:ascii="Arial" w:eastAsia="Times New Roman" w:hAnsi="Arial" w:cs="Arial"/>
          <w:sz w:val="22"/>
          <w:szCs w:val="22"/>
          <w:lang w:eastAsia="en-GB"/>
        </w:rPr>
        <w:t>4.3</w:t>
      </w:r>
      <w:r w:rsidR="000A0733" w:rsidRPr="009F32DC">
        <w:rPr>
          <w:rFonts w:ascii="Arial" w:eastAsia="Times New Roman" w:hAnsi="Arial" w:cs="Arial"/>
          <w:sz w:val="22"/>
          <w:szCs w:val="22"/>
          <w:lang w:eastAsia="en-GB"/>
        </w:rPr>
        <w:t xml:space="preserve"> </w:t>
      </w:r>
      <w:r w:rsidR="00F63BC6" w:rsidRPr="009F32DC">
        <w:rPr>
          <w:rFonts w:ascii="Arial" w:eastAsia="Times New Roman" w:hAnsi="Arial" w:cs="Arial"/>
          <w:sz w:val="22"/>
          <w:szCs w:val="22"/>
          <w:lang w:eastAsia="en-GB"/>
        </w:rPr>
        <w:t xml:space="preserve">When </w:t>
      </w:r>
      <w:r w:rsidR="00F63BC6" w:rsidRPr="005D270C">
        <w:rPr>
          <w:rFonts w:ascii="Arial" w:eastAsia="Times New Roman" w:hAnsi="Arial" w:cs="Arial"/>
          <w:sz w:val="22"/>
          <w:szCs w:val="22"/>
          <w:lang w:eastAsia="en-GB"/>
        </w:rPr>
        <w:t>to consult</w:t>
      </w:r>
    </w:p>
    <w:p w14:paraId="542940FB" w14:textId="77777777" w:rsidR="005B030E" w:rsidRDefault="005B030E" w:rsidP="001056E8">
      <w:pPr>
        <w:pStyle w:val="Heading1"/>
        <w:spacing w:line="240" w:lineRule="auto"/>
        <w:ind w:left="360"/>
        <w:contextualSpacing/>
        <w:rPr>
          <w:rFonts w:ascii="Arial" w:eastAsia="Times New Roman" w:hAnsi="Arial" w:cs="Arial"/>
          <w:color w:val="414042"/>
          <w:sz w:val="22"/>
          <w:szCs w:val="22"/>
          <w:lang w:eastAsia="en-GB"/>
        </w:rPr>
      </w:pPr>
    </w:p>
    <w:tbl>
      <w:tblPr>
        <w:tblStyle w:val="TableGrid"/>
        <w:tblW w:w="0" w:type="auto"/>
        <w:tblInd w:w="360" w:type="dxa"/>
        <w:tblLook w:val="04A0" w:firstRow="1" w:lastRow="0" w:firstColumn="1" w:lastColumn="0" w:noHBand="0" w:noVBand="1"/>
      </w:tblPr>
      <w:tblGrid>
        <w:gridCol w:w="4328"/>
        <w:gridCol w:w="4328"/>
      </w:tblGrid>
      <w:tr w:rsidR="005B030E" w14:paraId="701C881F" w14:textId="77777777" w:rsidTr="005B030E">
        <w:tc>
          <w:tcPr>
            <w:tcW w:w="4328" w:type="dxa"/>
          </w:tcPr>
          <w:p w14:paraId="47DE1AA9" w14:textId="5F1A3BDD" w:rsidR="005B030E" w:rsidRDefault="005B030E" w:rsidP="005B030E">
            <w:pPr>
              <w:pStyle w:val="Heading1"/>
              <w:contextualSpacing/>
              <w:outlineLvl w:val="0"/>
              <w:rPr>
                <w:rFonts w:ascii="Arial" w:eastAsia="Times New Roman" w:hAnsi="Arial" w:cs="Arial"/>
                <w:color w:val="414042"/>
                <w:sz w:val="22"/>
                <w:szCs w:val="22"/>
                <w:lang w:eastAsia="en-GB"/>
              </w:rPr>
            </w:pPr>
            <w:r w:rsidRPr="00581267">
              <w:rPr>
                <w:rFonts w:ascii="Arial" w:eastAsia="Times New Roman" w:hAnsi="Arial" w:cs="Arial"/>
                <w:b/>
                <w:bCs/>
                <w:color w:val="414042"/>
                <w:sz w:val="22"/>
                <w:szCs w:val="22"/>
                <w:lang w:eastAsia="en-GB"/>
              </w:rPr>
              <w:t>Change Definition</w:t>
            </w:r>
          </w:p>
        </w:tc>
        <w:tc>
          <w:tcPr>
            <w:tcW w:w="4328" w:type="dxa"/>
          </w:tcPr>
          <w:p w14:paraId="2EB1A53B" w14:textId="79612014" w:rsidR="005B030E" w:rsidRDefault="005B030E" w:rsidP="005B030E">
            <w:pPr>
              <w:pStyle w:val="Heading1"/>
              <w:contextualSpacing/>
              <w:outlineLvl w:val="0"/>
              <w:rPr>
                <w:rFonts w:ascii="Arial" w:eastAsia="Times New Roman" w:hAnsi="Arial" w:cs="Arial"/>
                <w:color w:val="414042"/>
                <w:sz w:val="22"/>
                <w:szCs w:val="22"/>
                <w:lang w:eastAsia="en-GB"/>
              </w:rPr>
            </w:pPr>
            <w:r w:rsidRPr="00581267">
              <w:rPr>
                <w:rFonts w:ascii="Arial" w:eastAsia="Times New Roman" w:hAnsi="Arial" w:cs="Arial"/>
                <w:b/>
                <w:bCs/>
                <w:color w:val="414042"/>
                <w:sz w:val="22"/>
                <w:szCs w:val="22"/>
                <w:lang w:eastAsia="en-GB"/>
              </w:rPr>
              <w:t xml:space="preserve">Who will </w:t>
            </w:r>
            <w:r w:rsidR="001D4B8C">
              <w:rPr>
                <w:rFonts w:ascii="Arial" w:eastAsia="Times New Roman" w:hAnsi="Arial" w:cs="Arial"/>
                <w:b/>
                <w:bCs/>
                <w:color w:val="414042"/>
                <w:sz w:val="22"/>
                <w:szCs w:val="22"/>
                <w:lang w:eastAsia="en-GB"/>
              </w:rPr>
              <w:t>consult</w:t>
            </w:r>
          </w:p>
        </w:tc>
      </w:tr>
      <w:tr w:rsidR="005B030E" w14:paraId="6E2EA012" w14:textId="77777777" w:rsidTr="00176F39">
        <w:tc>
          <w:tcPr>
            <w:tcW w:w="4328" w:type="dxa"/>
          </w:tcPr>
          <w:p w14:paraId="119EF63D" w14:textId="4311A9A8" w:rsidR="005B030E" w:rsidRPr="00B81A66" w:rsidRDefault="001D4B8C" w:rsidP="005B030E">
            <w:pPr>
              <w:pStyle w:val="Heading1"/>
              <w:contextualSpacing/>
              <w:outlineLvl w:val="0"/>
              <w:rPr>
                <w:rFonts w:ascii="Arial" w:eastAsia="Times New Roman" w:hAnsi="Arial" w:cs="Arial"/>
                <w:color w:val="414042"/>
                <w:sz w:val="22"/>
                <w:szCs w:val="22"/>
                <w:lang w:eastAsia="en-GB"/>
              </w:rPr>
            </w:pPr>
            <w:r w:rsidRPr="001D4B8C">
              <w:rPr>
                <w:rFonts w:ascii="Arial" w:eastAsia="Times New Roman" w:hAnsi="Arial" w:cs="Arial"/>
                <w:color w:val="414042"/>
                <w:sz w:val="22"/>
                <w:szCs w:val="22"/>
                <w:lang w:eastAsia="en-GB"/>
              </w:rPr>
              <w:t>All changes not referred to in 4.2 and 4.4</w:t>
            </w:r>
            <w:r w:rsidR="00B81A66">
              <w:rPr>
                <w:rFonts w:ascii="Arial" w:eastAsia="Times New Roman" w:hAnsi="Arial" w:cs="Arial"/>
                <w:color w:val="414042"/>
                <w:sz w:val="22"/>
                <w:szCs w:val="22"/>
                <w:lang w:eastAsia="en-GB"/>
              </w:rPr>
              <w:t xml:space="preserve"> (both in-year and for future years)</w:t>
            </w:r>
          </w:p>
        </w:tc>
        <w:tc>
          <w:tcPr>
            <w:tcW w:w="4328" w:type="dxa"/>
            <w:shd w:val="clear" w:color="auto" w:fill="FFFFFF" w:themeFill="background1"/>
          </w:tcPr>
          <w:p w14:paraId="44A46736" w14:textId="77777777" w:rsidR="005B030E" w:rsidRPr="00E21708" w:rsidRDefault="005B030E" w:rsidP="005B030E">
            <w:pPr>
              <w:pStyle w:val="Heading1"/>
              <w:contextualSpacing/>
              <w:outlineLvl w:val="0"/>
              <w:rPr>
                <w:rFonts w:ascii="Arial" w:eastAsia="Times New Roman" w:hAnsi="Arial" w:cs="Arial"/>
                <w:color w:val="auto"/>
                <w:sz w:val="22"/>
                <w:szCs w:val="22"/>
                <w:lang w:eastAsia="en-GB"/>
              </w:rPr>
            </w:pPr>
          </w:p>
          <w:p w14:paraId="1A594812" w14:textId="2AAE6AF8" w:rsidR="001D4B8C" w:rsidRPr="00E21708" w:rsidRDefault="001D4B8C" w:rsidP="005D270C">
            <w:pPr>
              <w:rPr>
                <w:rFonts w:ascii="Arial" w:hAnsi="Arial" w:cs="Arial"/>
                <w:lang w:eastAsia="en-GB"/>
              </w:rPr>
            </w:pPr>
            <w:r w:rsidRPr="00176F39">
              <w:rPr>
                <w:rFonts w:ascii="Arial" w:hAnsi="Arial" w:cs="Arial"/>
                <w:shd w:val="clear" w:color="auto" w:fill="FFFFFF" w:themeFill="background1"/>
                <w:lang w:eastAsia="en-GB"/>
              </w:rPr>
              <w:t>Academic Dept</w:t>
            </w:r>
          </w:p>
        </w:tc>
      </w:tr>
    </w:tbl>
    <w:p w14:paraId="3E163FB8" w14:textId="514EF6F3" w:rsidR="006B4A0E" w:rsidRPr="00176F39" w:rsidRDefault="006B4A0E" w:rsidP="63C499E6">
      <w:pPr>
        <w:pStyle w:val="NormalWeb"/>
        <w:shd w:val="clear" w:color="auto" w:fill="FFFFFF" w:themeFill="background1"/>
        <w:ind w:left="360"/>
        <w:contextualSpacing/>
        <w:rPr>
          <w:rFonts w:ascii="Arial" w:hAnsi="Arial" w:cs="Arial"/>
          <w:color w:val="414042"/>
          <w:sz w:val="22"/>
          <w:szCs w:val="22"/>
        </w:rPr>
      </w:pPr>
      <w:r w:rsidRPr="00176F39">
        <w:rPr>
          <w:rFonts w:ascii="Arial" w:hAnsi="Arial" w:cs="Arial"/>
          <w:color w:val="414042"/>
          <w:sz w:val="22"/>
          <w:szCs w:val="22"/>
        </w:rPr>
        <w:t>The University’s general principle is that any significant changes should be introduced for new cohorts of students. However, there will be occasions when changes need to be made which affect students already registered on the programme.</w:t>
      </w:r>
    </w:p>
    <w:p w14:paraId="0125E844" w14:textId="4FB1C580" w:rsidR="006B4A0E" w:rsidRDefault="000B269B" w:rsidP="63C499E6">
      <w:pPr>
        <w:pStyle w:val="Heading1"/>
        <w:spacing w:line="240" w:lineRule="auto"/>
        <w:ind w:left="360"/>
        <w:contextualSpacing/>
        <w:rPr>
          <w:rFonts w:ascii="Arial" w:eastAsia="Times New Roman" w:hAnsi="Arial" w:cs="Arial"/>
          <w:color w:val="414042"/>
          <w:sz w:val="22"/>
          <w:szCs w:val="22"/>
          <w:highlight w:val="yellow"/>
          <w:lang w:eastAsia="en-GB"/>
        </w:rPr>
      </w:pPr>
      <w:r w:rsidRPr="00176F39">
        <w:rPr>
          <w:rFonts w:ascii="Arial" w:eastAsia="Times New Roman" w:hAnsi="Arial" w:cs="Arial"/>
          <w:color w:val="414042"/>
          <w:sz w:val="22"/>
          <w:szCs w:val="22"/>
          <w:lang w:eastAsia="en-GB"/>
        </w:rPr>
        <w:t>It is</w:t>
      </w:r>
      <w:r w:rsidR="00366CFE" w:rsidRPr="00176F39">
        <w:rPr>
          <w:rFonts w:ascii="Arial" w:eastAsia="Times New Roman" w:hAnsi="Arial" w:cs="Arial"/>
          <w:color w:val="414042"/>
          <w:sz w:val="22"/>
          <w:szCs w:val="22"/>
          <w:lang w:eastAsia="en-GB"/>
        </w:rPr>
        <w:t xml:space="preserve"> important to state that in</w:t>
      </w:r>
      <w:r w:rsidR="009E01D5" w:rsidRPr="00176F39">
        <w:rPr>
          <w:rFonts w:ascii="Arial" w:eastAsia="Times New Roman" w:hAnsi="Arial" w:cs="Arial"/>
          <w:color w:val="414042"/>
          <w:sz w:val="22"/>
          <w:szCs w:val="22"/>
          <w:lang w:eastAsia="en-GB"/>
        </w:rPr>
        <w:t>-</w:t>
      </w:r>
      <w:r w:rsidR="00366CFE" w:rsidRPr="00176F39">
        <w:rPr>
          <w:rFonts w:ascii="Arial" w:eastAsia="Times New Roman" w:hAnsi="Arial" w:cs="Arial"/>
          <w:color w:val="414042"/>
          <w:sz w:val="22"/>
          <w:szCs w:val="22"/>
          <w:lang w:eastAsia="en-GB"/>
        </w:rPr>
        <w:t xml:space="preserve">year changes should be avoided as much as possible, due to the increased risk of </w:t>
      </w:r>
      <w:r w:rsidR="0056477B" w:rsidRPr="00176F39">
        <w:rPr>
          <w:rFonts w:ascii="Arial" w:eastAsia="Times New Roman" w:hAnsi="Arial" w:cs="Arial"/>
          <w:color w:val="414042"/>
          <w:sz w:val="22"/>
          <w:szCs w:val="22"/>
          <w:lang w:eastAsia="en-GB"/>
        </w:rPr>
        <w:t xml:space="preserve">a negative student experience caused by mid-year changes; and </w:t>
      </w:r>
      <w:r w:rsidR="001B35E7" w:rsidRPr="00176F39">
        <w:rPr>
          <w:rFonts w:ascii="Arial" w:eastAsia="Times New Roman" w:hAnsi="Arial" w:cs="Arial"/>
          <w:color w:val="414042"/>
          <w:sz w:val="22"/>
          <w:szCs w:val="22"/>
          <w:lang w:eastAsia="en-GB"/>
        </w:rPr>
        <w:t xml:space="preserve">a potential </w:t>
      </w:r>
      <w:r w:rsidR="0008237F" w:rsidRPr="00176F39">
        <w:rPr>
          <w:rFonts w:ascii="Arial" w:eastAsia="Times New Roman" w:hAnsi="Arial" w:cs="Arial"/>
          <w:color w:val="414042"/>
          <w:sz w:val="22"/>
          <w:szCs w:val="22"/>
          <w:lang w:eastAsia="en-GB"/>
        </w:rPr>
        <w:t>lack of choice for affected students</w:t>
      </w:r>
      <w:r w:rsidR="00F83E90" w:rsidRPr="00176F39">
        <w:rPr>
          <w:rFonts w:ascii="Arial" w:eastAsia="Times New Roman" w:hAnsi="Arial" w:cs="Arial"/>
          <w:color w:val="414042"/>
          <w:sz w:val="22"/>
          <w:szCs w:val="22"/>
          <w:lang w:eastAsia="en-GB"/>
        </w:rPr>
        <w:t xml:space="preserve"> (should they object to the change). In-year changes should be submitted by exception </w:t>
      </w:r>
      <w:bookmarkStart w:id="0" w:name="_Int_mTdZt5MJ"/>
      <w:proofErr w:type="gramStart"/>
      <w:r w:rsidR="00F83E90" w:rsidRPr="00176F39">
        <w:rPr>
          <w:rFonts w:ascii="Arial" w:eastAsia="Times New Roman" w:hAnsi="Arial" w:cs="Arial"/>
          <w:color w:val="414042"/>
          <w:sz w:val="22"/>
          <w:szCs w:val="22"/>
          <w:lang w:eastAsia="en-GB"/>
        </w:rPr>
        <w:t>only, and</w:t>
      </w:r>
      <w:bookmarkEnd w:id="0"/>
      <w:proofErr w:type="gramEnd"/>
      <w:r w:rsidR="00F83E90" w:rsidRPr="00176F39">
        <w:rPr>
          <w:rFonts w:ascii="Arial" w:eastAsia="Times New Roman" w:hAnsi="Arial" w:cs="Arial"/>
          <w:color w:val="414042"/>
          <w:sz w:val="22"/>
          <w:szCs w:val="22"/>
          <w:lang w:eastAsia="en-GB"/>
        </w:rPr>
        <w:t xml:space="preserve"> are likely to require </w:t>
      </w:r>
      <w:r w:rsidR="005E0046" w:rsidRPr="00176F39">
        <w:rPr>
          <w:rFonts w:ascii="Arial" w:eastAsia="Times New Roman" w:hAnsi="Arial" w:cs="Arial"/>
          <w:color w:val="414042"/>
          <w:sz w:val="22"/>
          <w:szCs w:val="22"/>
          <w:lang w:eastAsia="en-GB"/>
        </w:rPr>
        <w:t>increased levels of scrutiny and challenge because of this risk.</w:t>
      </w:r>
      <w:r w:rsidR="0024636C" w:rsidRPr="00176F39">
        <w:rPr>
          <w:rFonts w:ascii="Arial" w:eastAsia="Times New Roman" w:hAnsi="Arial" w:cs="Arial"/>
          <w:color w:val="414042"/>
          <w:sz w:val="22"/>
          <w:szCs w:val="22"/>
          <w:lang w:eastAsia="en-GB"/>
        </w:rPr>
        <w:t xml:space="preserve"> </w:t>
      </w:r>
      <w:r w:rsidR="0024636C" w:rsidRPr="0076170B">
        <w:rPr>
          <w:rFonts w:ascii="Arial" w:hAnsi="Arial" w:cs="Arial"/>
          <w:color w:val="000000" w:themeColor="text1"/>
          <w:sz w:val="22"/>
          <w:szCs w:val="22"/>
        </w:rPr>
        <w:t xml:space="preserve">All changes (including in-year changes) to programme or module content </w:t>
      </w:r>
      <w:r w:rsidR="0024636C" w:rsidRPr="0F7D8D94">
        <w:rPr>
          <w:rFonts w:ascii="Arial" w:hAnsi="Arial" w:cs="Arial"/>
          <w:color w:val="000000" w:themeColor="text1"/>
          <w:sz w:val="22"/>
          <w:szCs w:val="22"/>
        </w:rPr>
        <w:t xml:space="preserve">or </w:t>
      </w:r>
      <w:r w:rsidR="0024636C" w:rsidRPr="00176F39">
        <w:rPr>
          <w:rFonts w:ascii="Arial" w:hAnsi="Arial" w:cs="Arial"/>
          <w:color w:val="000000" w:themeColor="text1"/>
          <w:sz w:val="22"/>
          <w:szCs w:val="22"/>
        </w:rPr>
        <w:t>delivery should be formally approved via Academic Registry before being delivered to students.</w:t>
      </w:r>
    </w:p>
    <w:p w14:paraId="507BF296" w14:textId="77777777" w:rsidR="006B4A0E" w:rsidRDefault="006B4A0E" w:rsidP="001056E8">
      <w:pPr>
        <w:pStyle w:val="Heading1"/>
        <w:spacing w:line="240" w:lineRule="auto"/>
        <w:ind w:left="360"/>
        <w:contextualSpacing/>
        <w:rPr>
          <w:rFonts w:ascii="Arial" w:eastAsia="Times New Roman" w:hAnsi="Arial" w:cs="Arial"/>
          <w:color w:val="414042"/>
          <w:sz w:val="22"/>
          <w:szCs w:val="22"/>
          <w:lang w:eastAsia="en-GB"/>
        </w:rPr>
      </w:pPr>
    </w:p>
    <w:p w14:paraId="1CB88A68" w14:textId="264C1986" w:rsidR="00F63BC6" w:rsidRPr="00F63BC6" w:rsidRDefault="00F63BC6" w:rsidP="001056E8">
      <w:pPr>
        <w:pStyle w:val="Heading1"/>
        <w:spacing w:line="240" w:lineRule="auto"/>
        <w:ind w:left="360"/>
        <w:contextualSpacing/>
        <w:rPr>
          <w:rFonts w:ascii="Arial" w:eastAsia="Times New Roman" w:hAnsi="Arial" w:cs="Arial"/>
          <w:sz w:val="22"/>
          <w:szCs w:val="22"/>
          <w:lang w:eastAsia="en-GB"/>
        </w:rPr>
      </w:pPr>
      <w:r w:rsidRPr="00F63BC6">
        <w:rPr>
          <w:rFonts w:ascii="Arial" w:eastAsia="Times New Roman" w:hAnsi="Arial" w:cs="Arial"/>
          <w:color w:val="414042"/>
          <w:sz w:val="22"/>
          <w:szCs w:val="22"/>
          <w:lang w:eastAsia="en-GB"/>
        </w:rPr>
        <w:t>Where planned changes will affect current students, departments should take the following actions:</w:t>
      </w:r>
    </w:p>
    <w:p w14:paraId="6EA27119" w14:textId="6537CDAB" w:rsidR="00F63BC6" w:rsidRPr="006263E4" w:rsidRDefault="00F63BC6" w:rsidP="28C1A73D">
      <w:pPr>
        <w:numPr>
          <w:ilvl w:val="0"/>
          <w:numId w:val="8"/>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006263E4">
        <w:rPr>
          <w:rFonts w:ascii="Arial" w:eastAsia="Times New Roman" w:hAnsi="Arial" w:cs="Arial"/>
          <w:color w:val="414042"/>
          <w:lang w:eastAsia="en-GB"/>
        </w:rPr>
        <w:t>Inform the Students’ Union. Contact the Education Officer with brief details of the programme, the proposed change</w:t>
      </w:r>
      <w:r w:rsidR="00887593" w:rsidRPr="006263E4">
        <w:rPr>
          <w:rFonts w:ascii="Arial" w:eastAsia="Times New Roman" w:hAnsi="Arial" w:cs="Arial"/>
          <w:color w:val="414042"/>
          <w:lang w:eastAsia="en-GB"/>
        </w:rPr>
        <w:t>,</w:t>
      </w:r>
      <w:r w:rsidRPr="006263E4">
        <w:rPr>
          <w:rFonts w:ascii="Arial" w:eastAsia="Times New Roman" w:hAnsi="Arial" w:cs="Arial"/>
          <w:color w:val="414042"/>
          <w:lang w:eastAsia="en-GB"/>
        </w:rPr>
        <w:t xml:space="preserve"> and </w:t>
      </w:r>
      <w:r w:rsidR="00821AE0" w:rsidRPr="006263E4">
        <w:rPr>
          <w:rFonts w:ascii="Arial" w:eastAsia="Times New Roman" w:hAnsi="Arial" w:cs="Arial"/>
          <w:color w:val="414042"/>
          <w:lang w:eastAsia="en-GB"/>
        </w:rPr>
        <w:t xml:space="preserve">confirmation </w:t>
      </w:r>
      <w:r w:rsidR="00726046" w:rsidRPr="006263E4">
        <w:rPr>
          <w:rFonts w:ascii="Arial" w:eastAsia="Times New Roman" w:hAnsi="Arial" w:cs="Arial"/>
          <w:color w:val="414042"/>
          <w:lang w:eastAsia="en-GB"/>
        </w:rPr>
        <w:t>th</w:t>
      </w:r>
      <w:r w:rsidR="00C41062" w:rsidRPr="006263E4">
        <w:rPr>
          <w:rFonts w:ascii="Arial" w:eastAsia="Times New Roman" w:hAnsi="Arial" w:cs="Arial"/>
          <w:color w:val="414042"/>
          <w:lang w:eastAsia="en-GB"/>
        </w:rPr>
        <w:t>at</w:t>
      </w:r>
      <w:r w:rsidRPr="006263E4">
        <w:rPr>
          <w:rFonts w:ascii="Arial" w:eastAsia="Times New Roman" w:hAnsi="Arial" w:cs="Arial"/>
          <w:color w:val="414042"/>
          <w:lang w:eastAsia="en-GB"/>
        </w:rPr>
        <w:t xml:space="preserve"> the department </w:t>
      </w:r>
      <w:r w:rsidR="00C41062" w:rsidRPr="006263E4">
        <w:rPr>
          <w:rFonts w:ascii="Arial" w:eastAsia="Times New Roman" w:hAnsi="Arial" w:cs="Arial"/>
          <w:color w:val="414042"/>
          <w:lang w:eastAsia="en-GB"/>
        </w:rPr>
        <w:t>will</w:t>
      </w:r>
      <w:r w:rsidRPr="006263E4">
        <w:rPr>
          <w:rFonts w:ascii="Arial" w:eastAsia="Times New Roman" w:hAnsi="Arial" w:cs="Arial"/>
          <w:color w:val="414042"/>
          <w:lang w:eastAsia="en-GB"/>
        </w:rPr>
        <w:t xml:space="preserve"> consult </w:t>
      </w:r>
      <w:r w:rsidR="00C41062" w:rsidRPr="006263E4">
        <w:rPr>
          <w:rFonts w:ascii="Arial" w:eastAsia="Times New Roman" w:hAnsi="Arial" w:cs="Arial"/>
          <w:color w:val="414042"/>
          <w:lang w:eastAsia="en-GB"/>
        </w:rPr>
        <w:t xml:space="preserve">with </w:t>
      </w:r>
      <w:r w:rsidRPr="006263E4">
        <w:rPr>
          <w:rFonts w:ascii="Arial" w:eastAsia="Times New Roman" w:hAnsi="Arial" w:cs="Arial"/>
          <w:color w:val="414042"/>
          <w:lang w:eastAsia="en-GB"/>
        </w:rPr>
        <w:t>students.</w:t>
      </w:r>
    </w:p>
    <w:p w14:paraId="0978F8FD" w14:textId="77777777" w:rsidR="00322B9E" w:rsidRDefault="00F63BC6" w:rsidP="00322B9E">
      <w:pPr>
        <w:numPr>
          <w:ilvl w:val="0"/>
          <w:numId w:val="8"/>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29D52DFD">
        <w:rPr>
          <w:rFonts w:ascii="Arial" w:eastAsia="Times New Roman" w:hAnsi="Arial" w:cs="Arial"/>
          <w:color w:val="414042"/>
          <w:lang w:eastAsia="en-GB"/>
        </w:rPr>
        <w:t xml:space="preserve">Consult current students. All students who are affected by the change should be consulted, including Foundation Year students </w:t>
      </w:r>
      <w:r w:rsidR="00EF466B" w:rsidRPr="29D52DFD">
        <w:rPr>
          <w:rFonts w:ascii="Arial" w:eastAsia="Times New Roman" w:hAnsi="Arial" w:cs="Arial"/>
          <w:color w:val="414042"/>
          <w:lang w:eastAsia="en-GB"/>
        </w:rPr>
        <w:t>who are on programmes with only one progression route</w:t>
      </w:r>
      <w:r w:rsidRPr="29D52DFD">
        <w:rPr>
          <w:rFonts w:ascii="Arial" w:eastAsia="Times New Roman" w:hAnsi="Arial" w:cs="Arial"/>
          <w:color w:val="414042"/>
          <w:lang w:eastAsia="en-GB"/>
        </w:rPr>
        <w:t>. Usually, departments</w:t>
      </w:r>
      <w:r w:rsidR="00F032EE" w:rsidRPr="29D52DFD">
        <w:rPr>
          <w:rFonts w:ascii="Arial" w:eastAsia="Times New Roman" w:hAnsi="Arial" w:cs="Arial"/>
          <w:color w:val="414042"/>
          <w:lang w:eastAsia="en-GB"/>
        </w:rPr>
        <w:t xml:space="preserve"> (Programme Leader) </w:t>
      </w:r>
      <w:r w:rsidRPr="29D52DFD">
        <w:rPr>
          <w:rFonts w:ascii="Arial" w:eastAsia="Times New Roman" w:hAnsi="Arial" w:cs="Arial"/>
          <w:color w:val="414042"/>
          <w:lang w:eastAsia="en-GB"/>
        </w:rPr>
        <w:t xml:space="preserve">will </w:t>
      </w:r>
      <w:r w:rsidR="00500CD0" w:rsidRPr="29D52DFD">
        <w:rPr>
          <w:rFonts w:ascii="Arial" w:eastAsia="Times New Roman" w:hAnsi="Arial" w:cs="Arial"/>
          <w:color w:val="414042"/>
          <w:lang w:eastAsia="en-GB"/>
        </w:rPr>
        <w:t xml:space="preserve">contact </w:t>
      </w:r>
      <w:r w:rsidRPr="29D52DFD">
        <w:rPr>
          <w:rFonts w:ascii="Arial" w:eastAsia="Times New Roman" w:hAnsi="Arial" w:cs="Arial"/>
          <w:color w:val="414042"/>
          <w:lang w:eastAsia="en-GB"/>
        </w:rPr>
        <w:t xml:space="preserve">the students directly </w:t>
      </w:r>
      <w:r w:rsidR="00D931F6" w:rsidRPr="29D52DFD">
        <w:rPr>
          <w:rFonts w:ascii="Arial" w:eastAsia="Times New Roman" w:hAnsi="Arial" w:cs="Arial"/>
          <w:color w:val="414042"/>
          <w:lang w:eastAsia="en-GB"/>
        </w:rPr>
        <w:t xml:space="preserve">via </w:t>
      </w:r>
      <w:r w:rsidR="00FD694A" w:rsidRPr="29D52DFD">
        <w:rPr>
          <w:rFonts w:ascii="Arial" w:eastAsia="Times New Roman" w:hAnsi="Arial" w:cs="Arial"/>
          <w:color w:val="414042"/>
          <w:lang w:eastAsia="en-GB"/>
        </w:rPr>
        <w:t>Blackboard</w:t>
      </w:r>
      <w:r w:rsidR="00D931F6" w:rsidRPr="29D52DFD">
        <w:rPr>
          <w:rFonts w:ascii="Arial" w:eastAsia="Times New Roman" w:hAnsi="Arial" w:cs="Arial"/>
          <w:color w:val="414042"/>
          <w:lang w:eastAsia="en-GB"/>
        </w:rPr>
        <w:t xml:space="preserve"> </w:t>
      </w:r>
      <w:r w:rsidRPr="29D52DFD">
        <w:rPr>
          <w:rFonts w:ascii="Arial" w:eastAsia="Times New Roman" w:hAnsi="Arial" w:cs="Arial"/>
          <w:color w:val="414042"/>
          <w:lang w:eastAsia="en-GB"/>
        </w:rPr>
        <w:t>explaining the changes and setting a</w:t>
      </w:r>
      <w:r w:rsidR="00A81A86" w:rsidRPr="29D52DFD">
        <w:rPr>
          <w:rFonts w:ascii="Arial" w:eastAsia="Times New Roman" w:hAnsi="Arial" w:cs="Arial"/>
          <w:color w:val="414042"/>
          <w:lang w:eastAsia="en-GB"/>
        </w:rPr>
        <w:t>n appr</w:t>
      </w:r>
      <w:r w:rsidR="004655AC" w:rsidRPr="29D52DFD">
        <w:rPr>
          <w:rFonts w:ascii="Arial" w:eastAsia="Times New Roman" w:hAnsi="Arial" w:cs="Arial"/>
          <w:color w:val="414042"/>
          <w:lang w:eastAsia="en-GB"/>
        </w:rPr>
        <w:t>opriate</w:t>
      </w:r>
      <w:r w:rsidRPr="29D52DFD">
        <w:rPr>
          <w:rFonts w:ascii="Arial" w:eastAsia="Times New Roman" w:hAnsi="Arial" w:cs="Arial"/>
          <w:color w:val="414042"/>
          <w:lang w:eastAsia="en-GB"/>
        </w:rPr>
        <w:t xml:space="preserve"> </w:t>
      </w:r>
      <w:r w:rsidR="004655AC" w:rsidRPr="29D52DFD">
        <w:rPr>
          <w:rFonts w:ascii="Arial" w:eastAsia="Times New Roman" w:hAnsi="Arial" w:cs="Arial"/>
          <w:color w:val="414042"/>
          <w:lang w:eastAsia="en-GB"/>
        </w:rPr>
        <w:t>and r</w:t>
      </w:r>
      <w:r w:rsidR="009C49A9" w:rsidRPr="29D52DFD">
        <w:rPr>
          <w:rFonts w:ascii="Arial" w:eastAsia="Times New Roman" w:hAnsi="Arial" w:cs="Arial"/>
          <w:color w:val="414042"/>
          <w:lang w:eastAsia="en-GB"/>
        </w:rPr>
        <w:t xml:space="preserve">easonable </w:t>
      </w:r>
      <w:r w:rsidRPr="29D52DFD">
        <w:rPr>
          <w:rFonts w:ascii="Arial" w:eastAsia="Times New Roman" w:hAnsi="Arial" w:cs="Arial"/>
          <w:color w:val="414042"/>
          <w:lang w:eastAsia="en-GB"/>
        </w:rPr>
        <w:t xml:space="preserve">deadline for any comments and/or objections. </w:t>
      </w:r>
    </w:p>
    <w:p w14:paraId="466F5C0F" w14:textId="69E61D31" w:rsidR="00322B9E" w:rsidRDefault="00EF1F48" w:rsidP="00322B9E">
      <w:pPr>
        <w:numPr>
          <w:ilvl w:val="0"/>
          <w:numId w:val="8"/>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Pr>
          <w:rFonts w:ascii="Segoe UI" w:hAnsi="Segoe UI" w:cs="Segoe UI"/>
          <w:color w:val="414042"/>
          <w:shd w:val="clear" w:color="auto" w:fill="FFFFFF"/>
        </w:rPr>
        <w:t>Where changes are required following specific student feedback (</w:t>
      </w:r>
      <w:proofErr w:type="spellStart"/>
      <w:proofErr w:type="gramStart"/>
      <w:r>
        <w:rPr>
          <w:rFonts w:ascii="Segoe UI" w:hAnsi="Segoe UI" w:cs="Segoe UI"/>
          <w:color w:val="414042"/>
          <w:shd w:val="clear" w:color="auto" w:fill="FFFFFF"/>
        </w:rPr>
        <w:t>eg</w:t>
      </w:r>
      <w:proofErr w:type="spellEnd"/>
      <w:proofErr w:type="gramEnd"/>
      <w:r>
        <w:rPr>
          <w:rFonts w:ascii="Segoe UI" w:hAnsi="Segoe UI" w:cs="Segoe UI"/>
          <w:color w:val="414042"/>
          <w:shd w:val="clear" w:color="auto" w:fill="FFFFFF"/>
        </w:rPr>
        <w:t xml:space="preserve"> NSS results) </w:t>
      </w:r>
      <w:r>
        <w:rPr>
          <w:rStyle w:val="Strong"/>
          <w:rFonts w:ascii="Segoe UI" w:hAnsi="Segoe UI" w:cs="Segoe UI"/>
          <w:color w:val="414042"/>
          <w:shd w:val="clear" w:color="auto" w:fill="FFFFFF"/>
        </w:rPr>
        <w:t>and</w:t>
      </w:r>
      <w:r>
        <w:rPr>
          <w:rFonts w:ascii="Segoe UI" w:hAnsi="Segoe UI" w:cs="Segoe UI"/>
          <w:color w:val="414042"/>
          <w:shd w:val="clear" w:color="auto" w:fill="FFFFFF"/>
        </w:rPr>
        <w:t xml:space="preserve"> during University student holiday periods, the Programme Leader will be required to assess and consider the risk of not making the change versus awaiting an outcome of consulting. To ensure transparency, students should be made aware at the earliest opportunity </w:t>
      </w:r>
      <w:proofErr w:type="gramStart"/>
      <w:r>
        <w:rPr>
          <w:rFonts w:ascii="Segoe UI" w:hAnsi="Segoe UI" w:cs="Segoe UI"/>
          <w:color w:val="414042"/>
          <w:shd w:val="clear" w:color="auto" w:fill="FFFFFF"/>
        </w:rPr>
        <w:t>why</w:t>
      </w:r>
      <w:proofErr w:type="gramEnd"/>
      <w:r>
        <w:rPr>
          <w:rFonts w:ascii="Segoe UI" w:hAnsi="Segoe UI" w:cs="Segoe UI"/>
          <w:color w:val="414042"/>
          <w:shd w:val="clear" w:color="auto" w:fill="FFFFFF"/>
        </w:rPr>
        <w:t xml:space="preserve"> changes have been made during holiday periods without obtaining feedback from consultation</w:t>
      </w:r>
      <w:r w:rsidR="00907F8F">
        <w:rPr>
          <w:rFonts w:ascii="Segoe UI" w:hAnsi="Segoe UI" w:cs="Segoe UI"/>
          <w:color w:val="414042"/>
          <w:shd w:val="clear" w:color="auto" w:fill="FFFFFF"/>
        </w:rPr>
        <w:t>.</w:t>
      </w:r>
    </w:p>
    <w:p w14:paraId="57109A2D" w14:textId="0BFA5EAF" w:rsidR="0000067B" w:rsidRPr="00322B9E" w:rsidRDefault="00F63BC6" w:rsidP="00322B9E">
      <w:pPr>
        <w:numPr>
          <w:ilvl w:val="0"/>
          <w:numId w:val="8"/>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29D52DFD">
        <w:rPr>
          <w:rFonts w:ascii="Arial" w:eastAsia="Times New Roman" w:hAnsi="Arial" w:cs="Arial"/>
          <w:color w:val="414042"/>
          <w:lang w:eastAsia="en-GB"/>
        </w:rPr>
        <w:t>The outcomes of the consultation should then be followed up by the departmental learning and teaching committees as necessary</w:t>
      </w:r>
      <w:r w:rsidR="00D931F6" w:rsidRPr="29D52DFD">
        <w:rPr>
          <w:rFonts w:ascii="Arial" w:eastAsia="Times New Roman" w:hAnsi="Arial" w:cs="Arial"/>
          <w:color w:val="414042"/>
          <w:lang w:eastAsia="en-GB"/>
        </w:rPr>
        <w:t xml:space="preserve">, </w:t>
      </w:r>
      <w:r w:rsidR="00D931F6" w:rsidRPr="00902340">
        <w:rPr>
          <w:rFonts w:ascii="Arial" w:eastAsia="Times New Roman" w:hAnsi="Arial" w:cs="Arial"/>
          <w:color w:val="414042"/>
          <w:lang w:eastAsia="en-GB"/>
        </w:rPr>
        <w:t xml:space="preserve">and </w:t>
      </w:r>
      <w:r w:rsidR="001E1B21" w:rsidRPr="00902340">
        <w:rPr>
          <w:rFonts w:ascii="Arial" w:eastAsia="Times New Roman" w:hAnsi="Arial" w:cs="Arial"/>
          <w:color w:val="414042"/>
          <w:lang w:eastAsia="en-GB"/>
        </w:rPr>
        <w:t>the consultation should be mentioned in other appropriate fora to ensure that all students are</w:t>
      </w:r>
      <w:r w:rsidR="002157D3" w:rsidRPr="00902340">
        <w:rPr>
          <w:rFonts w:ascii="Arial" w:eastAsia="Times New Roman" w:hAnsi="Arial" w:cs="Arial"/>
          <w:color w:val="414042"/>
          <w:lang w:eastAsia="en-GB"/>
        </w:rPr>
        <w:t xml:space="preserve"> given as many opportunities to respond as possible</w:t>
      </w:r>
      <w:r w:rsidRPr="00902340">
        <w:rPr>
          <w:rFonts w:ascii="Arial" w:eastAsia="Times New Roman" w:hAnsi="Arial" w:cs="Arial"/>
          <w:color w:val="414042"/>
          <w:lang w:eastAsia="en-GB"/>
        </w:rPr>
        <w:t xml:space="preserve">. A copy of </w:t>
      </w:r>
      <w:r w:rsidR="002157D3" w:rsidRPr="00902340">
        <w:rPr>
          <w:rFonts w:ascii="Arial" w:eastAsia="Times New Roman" w:hAnsi="Arial" w:cs="Arial"/>
          <w:color w:val="414042"/>
          <w:lang w:eastAsia="en-GB"/>
        </w:rPr>
        <w:t>any correspondence</w:t>
      </w:r>
      <w:r w:rsidRPr="00902340">
        <w:rPr>
          <w:rFonts w:ascii="Arial" w:eastAsia="Times New Roman" w:hAnsi="Arial" w:cs="Arial"/>
          <w:color w:val="414042"/>
          <w:lang w:eastAsia="en-GB"/>
        </w:rPr>
        <w:t xml:space="preserve">, and any notes / minutes from meetings </w:t>
      </w:r>
      <w:r w:rsidRPr="00AC3767">
        <w:rPr>
          <w:rFonts w:ascii="Arial" w:eastAsia="Times New Roman" w:hAnsi="Arial" w:cs="Arial"/>
          <w:color w:val="414042"/>
          <w:lang w:eastAsia="en-GB"/>
        </w:rPr>
        <w:t>where the changes have been discussed</w:t>
      </w:r>
      <w:r w:rsidRPr="29D52DFD">
        <w:rPr>
          <w:rFonts w:ascii="Arial" w:eastAsia="Times New Roman" w:hAnsi="Arial" w:cs="Arial"/>
          <w:color w:val="414042"/>
          <w:lang w:eastAsia="en-GB"/>
        </w:rPr>
        <w:t xml:space="preserve"> with students should be kept</w:t>
      </w:r>
      <w:r w:rsidR="00467CDB" w:rsidRPr="29D52DFD">
        <w:rPr>
          <w:rFonts w:ascii="Arial" w:eastAsia="Times New Roman" w:hAnsi="Arial" w:cs="Arial"/>
          <w:color w:val="414042"/>
          <w:lang w:eastAsia="en-GB"/>
        </w:rPr>
        <w:t xml:space="preserve"> by the proposer</w:t>
      </w:r>
      <w:r w:rsidR="0000067B" w:rsidRPr="00322B9E">
        <w:rPr>
          <w:rFonts w:ascii="Arial" w:eastAsia="Times New Roman" w:hAnsi="Arial" w:cs="Arial"/>
          <w:color w:val="414042"/>
          <w:lang w:eastAsia="en-GB"/>
        </w:rPr>
        <w:t>.</w:t>
      </w:r>
    </w:p>
    <w:p w14:paraId="063CC12B" w14:textId="19C81D6D" w:rsidR="00F63BC6" w:rsidRPr="00F63BC6" w:rsidRDefault="00F63BC6" w:rsidP="60F77317">
      <w:pPr>
        <w:numPr>
          <w:ilvl w:val="0"/>
          <w:numId w:val="8"/>
        </w:numPr>
        <w:shd w:val="clear" w:color="auto" w:fill="FFFFFF" w:themeFill="background1"/>
        <w:spacing w:before="100" w:beforeAutospacing="1" w:after="100" w:afterAutospacing="1" w:line="240" w:lineRule="auto"/>
        <w:contextualSpacing/>
        <w:rPr>
          <w:rFonts w:ascii="Arial" w:eastAsia="Times New Roman" w:hAnsi="Arial" w:cs="Arial"/>
          <w:color w:val="414042"/>
          <w:lang w:eastAsia="en-GB"/>
        </w:rPr>
      </w:pPr>
      <w:r w:rsidRPr="28C1A73D">
        <w:rPr>
          <w:rFonts w:ascii="Arial" w:eastAsia="Times New Roman" w:hAnsi="Arial" w:cs="Arial"/>
          <w:color w:val="414042"/>
          <w:lang w:eastAsia="en-GB"/>
        </w:rPr>
        <w:t xml:space="preserve">Submit changes for approval to the </w:t>
      </w:r>
      <w:r w:rsidR="00696412" w:rsidRPr="28C1A73D">
        <w:rPr>
          <w:rFonts w:ascii="Arial" w:eastAsia="Times New Roman" w:hAnsi="Arial" w:cs="Arial"/>
          <w:color w:val="414042"/>
          <w:lang w:eastAsia="en-GB"/>
        </w:rPr>
        <w:t>QTE team</w:t>
      </w:r>
      <w:r w:rsidR="00911D09">
        <w:rPr>
          <w:rFonts w:ascii="Arial" w:eastAsia="Times New Roman" w:hAnsi="Arial" w:cs="Arial"/>
          <w:color w:val="414042"/>
          <w:lang w:eastAsia="en-GB"/>
        </w:rPr>
        <w:t xml:space="preserve"> in Academic Registry</w:t>
      </w:r>
      <w:r w:rsidRPr="28C1A73D">
        <w:rPr>
          <w:rFonts w:ascii="Arial" w:eastAsia="Times New Roman" w:hAnsi="Arial" w:cs="Arial"/>
          <w:color w:val="414042"/>
          <w:lang w:eastAsia="en-GB"/>
        </w:rPr>
        <w:t>. This should be done via the normal procedures but should inc</w:t>
      </w:r>
      <w:r w:rsidRPr="00991E25">
        <w:rPr>
          <w:rFonts w:ascii="Arial" w:eastAsia="Times New Roman" w:hAnsi="Arial" w:cs="Arial"/>
          <w:color w:val="414042"/>
          <w:lang w:eastAsia="en-GB"/>
        </w:rPr>
        <w:t>lude details of how students have been consulted and how they will be informed s</w:t>
      </w:r>
      <w:r w:rsidRPr="28C1A73D">
        <w:rPr>
          <w:rFonts w:ascii="Arial" w:eastAsia="Times New Roman" w:hAnsi="Arial" w:cs="Arial"/>
          <w:color w:val="414042"/>
          <w:lang w:eastAsia="en-GB"/>
        </w:rPr>
        <w:t>hould the change be approved.</w:t>
      </w:r>
    </w:p>
    <w:p w14:paraId="63CB53B4" w14:textId="27BA676C" w:rsidR="00F63BC6" w:rsidRPr="00902340" w:rsidRDefault="00F63BC6" w:rsidP="63C499E6">
      <w:pPr>
        <w:numPr>
          <w:ilvl w:val="0"/>
          <w:numId w:val="8"/>
        </w:numPr>
        <w:shd w:val="clear" w:color="auto" w:fill="FFFFFF" w:themeFill="background1"/>
        <w:spacing w:before="100" w:beforeAutospacing="1" w:after="100" w:afterAutospacing="1" w:line="240" w:lineRule="auto"/>
        <w:contextualSpacing/>
        <w:rPr>
          <w:rFonts w:eastAsiaTheme="minorEastAsia"/>
          <w:color w:val="414042"/>
          <w:lang w:eastAsia="en-GB"/>
        </w:rPr>
      </w:pPr>
      <w:r w:rsidRPr="63C499E6">
        <w:rPr>
          <w:rFonts w:ascii="Arial" w:eastAsia="Times New Roman" w:hAnsi="Arial" w:cs="Arial"/>
          <w:color w:val="414042"/>
          <w:lang w:eastAsia="en-GB"/>
        </w:rPr>
        <w:lastRenderedPageBreak/>
        <w:t xml:space="preserve">When a change has been </w:t>
      </w:r>
      <w:r w:rsidR="00606B89">
        <w:rPr>
          <w:rFonts w:ascii="Arial" w:eastAsia="Times New Roman" w:hAnsi="Arial" w:cs="Arial"/>
          <w:color w:val="414042"/>
          <w:lang w:eastAsia="en-GB"/>
        </w:rPr>
        <w:t xml:space="preserve">formally </w:t>
      </w:r>
      <w:r w:rsidRPr="63C499E6">
        <w:rPr>
          <w:rFonts w:ascii="Arial" w:eastAsia="Times New Roman" w:hAnsi="Arial" w:cs="Arial"/>
          <w:color w:val="414042"/>
          <w:lang w:eastAsia="en-GB"/>
        </w:rPr>
        <w:t>approved, all affected students must be informed in writing</w:t>
      </w:r>
      <w:r w:rsidRPr="09BD21E3">
        <w:rPr>
          <w:rFonts w:ascii="Arial" w:eastAsia="Times New Roman" w:hAnsi="Arial" w:cs="Arial"/>
          <w:color w:val="414042"/>
          <w:lang w:eastAsia="en-GB"/>
        </w:rPr>
        <w:t xml:space="preserve">. </w:t>
      </w:r>
      <w:r w:rsidRPr="63C499E6">
        <w:rPr>
          <w:rFonts w:ascii="Arial" w:eastAsia="Times New Roman" w:hAnsi="Arial" w:cs="Arial"/>
          <w:color w:val="414042"/>
          <w:lang w:eastAsia="en-GB"/>
        </w:rPr>
        <w:t>This information must be provided to students in good time to allow them to take up alternatives where this is appropriate. Remember to include any students who are away from the University, for example on a placement, studying abroad or taking a leave of absence from their programme.</w:t>
      </w:r>
      <w:r w:rsidR="75E76DDA" w:rsidRPr="63C499E6">
        <w:rPr>
          <w:rFonts w:ascii="Arial" w:eastAsia="Times New Roman" w:hAnsi="Arial" w:cs="Arial"/>
          <w:color w:val="414042"/>
          <w:lang w:eastAsia="en-GB"/>
        </w:rPr>
        <w:t xml:space="preserve"> </w:t>
      </w:r>
      <w:r w:rsidR="75E76DDA" w:rsidRPr="00902340">
        <w:rPr>
          <w:rFonts w:ascii="Arial" w:eastAsia="Times New Roman" w:hAnsi="Arial" w:cs="Arial"/>
          <w:color w:val="414042"/>
          <w:lang w:eastAsia="en-GB"/>
        </w:rPr>
        <w:t>Usually departments, (Programme Leader/Module Leader) will provide this written notification to all students affected by the change directly via Blackboard.</w:t>
      </w:r>
    </w:p>
    <w:p w14:paraId="1274FC68" w14:textId="77777777" w:rsidR="009F32DC" w:rsidRPr="00FA7C7A" w:rsidRDefault="009F32DC" w:rsidP="009F32DC">
      <w:pPr>
        <w:shd w:val="clear" w:color="auto" w:fill="FFFFFF"/>
        <w:spacing w:before="100" w:beforeAutospacing="1" w:after="100" w:afterAutospacing="1" w:line="240" w:lineRule="auto"/>
        <w:contextualSpacing/>
        <w:rPr>
          <w:rFonts w:ascii="Arial" w:eastAsia="Times New Roman" w:hAnsi="Arial" w:cs="Arial"/>
          <w:color w:val="414042"/>
          <w:lang w:eastAsia="en-GB"/>
        </w:rPr>
      </w:pPr>
    </w:p>
    <w:p w14:paraId="0A570C5E" w14:textId="3449535E" w:rsidR="00F63BC6" w:rsidRPr="00F63BC6" w:rsidRDefault="00F63BC6" w:rsidP="00EA7283">
      <w:pPr>
        <w:shd w:val="clear" w:color="auto" w:fill="FFFFFF"/>
        <w:spacing w:before="100" w:beforeAutospacing="1" w:after="100" w:afterAutospacing="1" w:line="240" w:lineRule="auto"/>
        <w:contextualSpacing/>
        <w:rPr>
          <w:rFonts w:ascii="Arial" w:eastAsia="Times New Roman" w:hAnsi="Arial" w:cs="Arial"/>
          <w:color w:val="414042"/>
          <w:lang w:eastAsia="en-GB"/>
        </w:rPr>
      </w:pPr>
      <w:r w:rsidRPr="00FA7C7A">
        <w:rPr>
          <w:rFonts w:ascii="Arial" w:eastAsia="Times New Roman" w:hAnsi="Arial" w:cs="Arial"/>
          <w:color w:val="414042"/>
          <w:lang w:eastAsia="en-GB"/>
        </w:rPr>
        <w:t>The table below provides details of who should be consulted in each case</w:t>
      </w:r>
      <w:r w:rsidR="00484E82" w:rsidRPr="00FA7C7A">
        <w:rPr>
          <w:rFonts w:ascii="Arial" w:eastAsia="Times New Roman" w:hAnsi="Arial" w:cs="Arial"/>
          <w:color w:val="414042"/>
          <w:lang w:eastAsia="en-GB"/>
        </w:rPr>
        <w:t>, assuming the change is planned for the following academic year</w:t>
      </w:r>
      <w:r w:rsidRPr="00FA7C7A">
        <w:rPr>
          <w:rFonts w:ascii="Arial" w:eastAsia="Times New Roman" w:hAnsi="Arial" w:cs="Arial"/>
          <w:color w:val="414042"/>
          <w:lang w:eastAsia="en-GB"/>
        </w:rPr>
        <w:t>:</w:t>
      </w:r>
    </w:p>
    <w:tbl>
      <w:tblPr>
        <w:tblW w:w="9214" w:type="dxa"/>
        <w:tblInd w:w="-8" w:type="dxa"/>
        <w:tblCellMar>
          <w:top w:w="15" w:type="dxa"/>
          <w:left w:w="15" w:type="dxa"/>
          <w:bottom w:w="15" w:type="dxa"/>
          <w:right w:w="15" w:type="dxa"/>
        </w:tblCellMar>
        <w:tblLook w:val="04A0" w:firstRow="1" w:lastRow="0" w:firstColumn="1" w:lastColumn="0" w:noHBand="0" w:noVBand="1"/>
      </w:tblPr>
      <w:tblGrid>
        <w:gridCol w:w="3544"/>
        <w:gridCol w:w="5670"/>
      </w:tblGrid>
      <w:tr w:rsidR="00ED7EC4" w:rsidRPr="00F63BC6" w14:paraId="1E2307D3" w14:textId="77777777" w:rsidTr="00192F8F">
        <w:trPr>
          <w:tblHeader/>
        </w:trPr>
        <w:tc>
          <w:tcPr>
            <w:tcW w:w="3544" w:type="dxa"/>
            <w:tcBorders>
              <w:top w:val="single" w:sz="6" w:space="0" w:color="0066B3"/>
              <w:left w:val="single" w:sz="6" w:space="0" w:color="0066B3"/>
              <w:bottom w:val="single" w:sz="6" w:space="0" w:color="0066B3"/>
              <w:right w:val="single" w:sz="6" w:space="0" w:color="0066B3"/>
            </w:tcBorders>
            <w:shd w:val="clear" w:color="auto" w:fill="0066B3"/>
            <w:tcMar>
              <w:top w:w="75" w:type="dxa"/>
              <w:left w:w="75" w:type="dxa"/>
              <w:bottom w:w="75" w:type="dxa"/>
              <w:right w:w="75" w:type="dxa"/>
            </w:tcMar>
            <w:hideMark/>
          </w:tcPr>
          <w:p w14:paraId="48821BCF" w14:textId="77777777" w:rsidR="00F63BC6" w:rsidRPr="00F63BC6" w:rsidRDefault="00F63BC6" w:rsidP="00EA7283">
            <w:pPr>
              <w:spacing w:after="0" w:line="240" w:lineRule="auto"/>
              <w:contextualSpacing/>
              <w:jc w:val="center"/>
              <w:rPr>
                <w:rFonts w:ascii="Arial" w:eastAsia="Times New Roman" w:hAnsi="Arial" w:cs="Arial"/>
                <w:color w:val="FFFFFF"/>
                <w:lang w:eastAsia="en-GB"/>
              </w:rPr>
            </w:pPr>
            <w:r w:rsidRPr="00F63BC6">
              <w:rPr>
                <w:rFonts w:ascii="Arial" w:eastAsia="Times New Roman" w:hAnsi="Arial" w:cs="Arial"/>
                <w:color w:val="FFFFFF"/>
                <w:lang w:eastAsia="en-GB"/>
              </w:rPr>
              <w:t>Changes</w:t>
            </w:r>
          </w:p>
        </w:tc>
        <w:tc>
          <w:tcPr>
            <w:tcW w:w="5670" w:type="dxa"/>
            <w:tcBorders>
              <w:top w:val="single" w:sz="6" w:space="0" w:color="0066B3"/>
              <w:left w:val="single" w:sz="6" w:space="0" w:color="0066B3"/>
              <w:bottom w:val="single" w:sz="6" w:space="0" w:color="0066B3"/>
              <w:right w:val="single" w:sz="6" w:space="0" w:color="0066B3"/>
            </w:tcBorders>
            <w:shd w:val="clear" w:color="auto" w:fill="0066B3"/>
            <w:tcMar>
              <w:top w:w="75" w:type="dxa"/>
              <w:left w:w="75" w:type="dxa"/>
              <w:bottom w:w="75" w:type="dxa"/>
              <w:right w:w="75" w:type="dxa"/>
            </w:tcMar>
            <w:hideMark/>
          </w:tcPr>
          <w:p w14:paraId="4271ADBD" w14:textId="77777777" w:rsidR="00F63BC6" w:rsidRPr="00F63BC6" w:rsidRDefault="00F63BC6" w:rsidP="00EA7283">
            <w:pPr>
              <w:spacing w:after="0" w:line="240" w:lineRule="auto"/>
              <w:contextualSpacing/>
              <w:jc w:val="center"/>
              <w:rPr>
                <w:rFonts w:ascii="Arial" w:eastAsia="Times New Roman" w:hAnsi="Arial" w:cs="Arial"/>
                <w:color w:val="FFFFFF"/>
                <w:lang w:eastAsia="en-GB"/>
              </w:rPr>
            </w:pPr>
            <w:r w:rsidRPr="00F63BC6">
              <w:rPr>
                <w:rFonts w:ascii="Arial" w:eastAsia="Times New Roman" w:hAnsi="Arial" w:cs="Arial"/>
                <w:color w:val="FFFFFF"/>
                <w:lang w:eastAsia="en-GB"/>
              </w:rPr>
              <w:t>Communication to</w:t>
            </w:r>
          </w:p>
        </w:tc>
      </w:tr>
      <w:tr w:rsidR="00F63BC6" w:rsidRPr="00F63BC6" w14:paraId="37E60D63" w14:textId="77777777" w:rsidTr="00952EFD">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40EFED2A" w14:textId="7B9115AA" w:rsidR="00F63BC6" w:rsidRPr="00F63BC6" w:rsidRDefault="00952EFD" w:rsidP="00EA7283">
            <w:pPr>
              <w:spacing w:after="0" w:line="240" w:lineRule="auto"/>
              <w:contextualSpacing/>
              <w:rPr>
                <w:rFonts w:ascii="Arial" w:eastAsia="Times New Roman" w:hAnsi="Arial" w:cs="Arial"/>
                <w:lang w:eastAsia="en-GB"/>
              </w:rPr>
            </w:pPr>
            <w:r>
              <w:rPr>
                <w:rFonts w:ascii="Arial" w:eastAsia="Times New Roman" w:hAnsi="Arial" w:cs="Arial"/>
                <w:lang w:eastAsia="en-GB"/>
              </w:rPr>
              <w:t>Proposed changes to Level 3</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4F6A30FC" w14:textId="79D14998" w:rsidR="00F63BC6" w:rsidRPr="00FA7C7A" w:rsidRDefault="00952EFD" w:rsidP="00EA7283">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Applicants to the programme who have been offered a place (informed only)</w:t>
            </w:r>
          </w:p>
        </w:tc>
      </w:tr>
      <w:tr w:rsidR="00952EFD" w:rsidRPr="00F63BC6" w14:paraId="018C2A38" w14:textId="77777777" w:rsidTr="00192F8F">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7900AC24" w14:textId="01AC5D3F" w:rsidR="00952EFD" w:rsidRPr="00F63BC6" w:rsidRDefault="00952EFD" w:rsidP="00952EFD">
            <w:pPr>
              <w:spacing w:after="0" w:line="240" w:lineRule="auto"/>
              <w:contextualSpacing/>
              <w:rPr>
                <w:rFonts w:ascii="Arial" w:eastAsia="Times New Roman" w:hAnsi="Arial" w:cs="Arial"/>
                <w:lang w:eastAsia="en-GB"/>
              </w:rPr>
            </w:pPr>
            <w:r w:rsidRPr="00F63BC6">
              <w:rPr>
                <w:rFonts w:ascii="Arial" w:eastAsia="Times New Roman" w:hAnsi="Arial" w:cs="Arial"/>
                <w:lang w:eastAsia="en-GB"/>
              </w:rPr>
              <w:t xml:space="preserve">Proposed changes to Level </w:t>
            </w:r>
            <w:r>
              <w:rPr>
                <w:rFonts w:ascii="Arial" w:eastAsia="Times New Roman" w:hAnsi="Arial" w:cs="Arial"/>
                <w:lang w:eastAsia="en-GB"/>
              </w:rPr>
              <w:t>4</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29D8E9C0" w14:textId="4C81EF76" w:rsidR="00952EFD" w:rsidRPr="00FA7C7A" w:rsidRDefault="00952EFD" w:rsidP="00952EFD">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Applicants to the programme who have been offered a place (informed only)</w:t>
            </w:r>
            <w:r w:rsidRPr="00FA7C7A">
              <w:rPr>
                <w:rFonts w:ascii="Arial" w:eastAsia="Times New Roman" w:hAnsi="Arial" w:cs="Arial"/>
                <w:lang w:eastAsia="en-GB"/>
              </w:rPr>
              <w:br/>
              <w:t>All level 3 students on Foundation Years and pathway programmes (informed and consulted)</w:t>
            </w:r>
          </w:p>
        </w:tc>
      </w:tr>
      <w:tr w:rsidR="00952EFD" w:rsidRPr="00F63BC6" w14:paraId="54B9D688" w14:textId="77777777" w:rsidTr="00192F8F">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0F9C60A4" w14:textId="59B91D4F" w:rsidR="00952EFD" w:rsidRPr="00F63BC6" w:rsidRDefault="00952EFD" w:rsidP="00952EFD">
            <w:pPr>
              <w:spacing w:after="0" w:line="240" w:lineRule="auto"/>
              <w:contextualSpacing/>
              <w:rPr>
                <w:rFonts w:ascii="Arial" w:eastAsia="Times New Roman" w:hAnsi="Arial" w:cs="Arial"/>
                <w:lang w:eastAsia="en-GB"/>
              </w:rPr>
            </w:pPr>
            <w:r w:rsidRPr="00F63BC6">
              <w:rPr>
                <w:rFonts w:ascii="Arial" w:eastAsia="Times New Roman" w:hAnsi="Arial" w:cs="Arial"/>
                <w:lang w:eastAsia="en-GB"/>
              </w:rPr>
              <w:t xml:space="preserve">Proposed changes to Level </w:t>
            </w:r>
            <w:r>
              <w:rPr>
                <w:rFonts w:ascii="Arial" w:eastAsia="Times New Roman" w:hAnsi="Arial" w:cs="Arial"/>
                <w:lang w:eastAsia="en-GB"/>
              </w:rPr>
              <w:t>5</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7D34269A" w14:textId="4BD4EA57" w:rsidR="00952EFD" w:rsidRPr="00FA7C7A" w:rsidRDefault="00952EFD" w:rsidP="00952EFD">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 xml:space="preserve">All Level </w:t>
            </w:r>
            <w:r w:rsidR="00D32842" w:rsidRPr="00FA7C7A">
              <w:rPr>
                <w:rFonts w:ascii="Arial" w:eastAsia="Times New Roman" w:hAnsi="Arial" w:cs="Arial"/>
                <w:lang w:eastAsia="en-GB"/>
              </w:rPr>
              <w:t>4</w:t>
            </w:r>
            <w:r w:rsidRPr="00FA7C7A">
              <w:rPr>
                <w:rFonts w:ascii="Arial" w:eastAsia="Times New Roman" w:hAnsi="Arial" w:cs="Arial"/>
                <w:lang w:eastAsia="en-GB"/>
              </w:rPr>
              <w:t xml:space="preserve"> students</w:t>
            </w:r>
          </w:p>
        </w:tc>
      </w:tr>
      <w:tr w:rsidR="00952EFD" w:rsidRPr="00F63BC6" w14:paraId="6499C710" w14:textId="77777777" w:rsidTr="00192F8F">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78681185" w14:textId="5FBD54FD" w:rsidR="00952EFD" w:rsidRPr="00F63BC6" w:rsidRDefault="00952EFD" w:rsidP="00952EFD">
            <w:pPr>
              <w:spacing w:after="0" w:line="240" w:lineRule="auto"/>
              <w:contextualSpacing/>
              <w:rPr>
                <w:rFonts w:ascii="Arial" w:eastAsia="Times New Roman" w:hAnsi="Arial" w:cs="Arial"/>
                <w:lang w:eastAsia="en-GB"/>
              </w:rPr>
            </w:pPr>
            <w:r w:rsidRPr="00F63BC6">
              <w:rPr>
                <w:rFonts w:ascii="Arial" w:eastAsia="Times New Roman" w:hAnsi="Arial" w:cs="Arial"/>
                <w:lang w:eastAsia="en-GB"/>
              </w:rPr>
              <w:t xml:space="preserve">Proposed changes to Level </w:t>
            </w:r>
            <w:r>
              <w:rPr>
                <w:rFonts w:ascii="Arial" w:eastAsia="Times New Roman" w:hAnsi="Arial" w:cs="Arial"/>
                <w:lang w:eastAsia="en-GB"/>
              </w:rPr>
              <w:t>6</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4B750DA8" w14:textId="5BC60376" w:rsidR="00952EFD" w:rsidRPr="00FA7C7A" w:rsidRDefault="00952EFD" w:rsidP="00952EFD">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 xml:space="preserve">All Level </w:t>
            </w:r>
            <w:r w:rsidR="005C297F" w:rsidRPr="00FA7C7A">
              <w:rPr>
                <w:rFonts w:ascii="Arial" w:eastAsia="Times New Roman" w:hAnsi="Arial" w:cs="Arial"/>
                <w:lang w:eastAsia="en-GB"/>
              </w:rPr>
              <w:t>4</w:t>
            </w:r>
            <w:r w:rsidRPr="00FA7C7A">
              <w:rPr>
                <w:rFonts w:ascii="Arial" w:eastAsia="Times New Roman" w:hAnsi="Arial" w:cs="Arial"/>
                <w:lang w:eastAsia="en-GB"/>
              </w:rPr>
              <w:t xml:space="preserve"> and Level </w:t>
            </w:r>
            <w:r w:rsidR="005C297F" w:rsidRPr="00FA7C7A">
              <w:rPr>
                <w:rFonts w:ascii="Arial" w:eastAsia="Times New Roman" w:hAnsi="Arial" w:cs="Arial"/>
                <w:lang w:eastAsia="en-GB"/>
              </w:rPr>
              <w:t>5</w:t>
            </w:r>
            <w:r w:rsidRPr="00FA7C7A">
              <w:rPr>
                <w:rFonts w:ascii="Arial" w:eastAsia="Times New Roman" w:hAnsi="Arial" w:cs="Arial"/>
                <w:lang w:eastAsia="en-GB"/>
              </w:rPr>
              <w:t xml:space="preserve"> students</w:t>
            </w:r>
          </w:p>
        </w:tc>
      </w:tr>
      <w:tr w:rsidR="007A618D" w:rsidRPr="00F63BC6" w14:paraId="6500968D" w14:textId="77777777" w:rsidTr="00192F8F">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2A782E4A" w14:textId="5F1D40C1" w:rsidR="007A618D" w:rsidRPr="00F63BC6" w:rsidRDefault="007A618D" w:rsidP="007A618D">
            <w:pPr>
              <w:spacing w:after="0" w:line="240" w:lineRule="auto"/>
              <w:contextualSpacing/>
              <w:rPr>
                <w:rFonts w:ascii="Arial" w:eastAsia="Times New Roman" w:hAnsi="Arial" w:cs="Arial"/>
                <w:lang w:eastAsia="en-GB"/>
              </w:rPr>
            </w:pPr>
            <w:r>
              <w:rPr>
                <w:rFonts w:ascii="Arial" w:eastAsia="Times New Roman" w:hAnsi="Arial" w:cs="Arial"/>
                <w:lang w:eastAsia="en-GB"/>
              </w:rPr>
              <w:t>Proposed changes to Level 7 integrated masters</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5F94A812" w14:textId="004A1B63" w:rsidR="007A618D" w:rsidRPr="00FA7C7A" w:rsidRDefault="007A618D" w:rsidP="007A618D">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All levels</w:t>
            </w:r>
          </w:p>
        </w:tc>
      </w:tr>
      <w:tr w:rsidR="007A618D" w:rsidRPr="00F63BC6" w14:paraId="1167B730" w14:textId="77777777" w:rsidTr="00192F8F">
        <w:tc>
          <w:tcPr>
            <w:tcW w:w="354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64959C97" w14:textId="3E4DCBCC" w:rsidR="007A618D" w:rsidRPr="00F63BC6" w:rsidRDefault="007A618D" w:rsidP="007A618D">
            <w:pPr>
              <w:spacing w:after="0" w:line="240" w:lineRule="auto"/>
              <w:contextualSpacing/>
              <w:rPr>
                <w:rFonts w:ascii="Arial" w:eastAsia="Times New Roman" w:hAnsi="Arial" w:cs="Arial"/>
                <w:lang w:eastAsia="en-GB"/>
              </w:rPr>
            </w:pPr>
            <w:r w:rsidRPr="00F63BC6">
              <w:rPr>
                <w:rFonts w:ascii="Arial" w:eastAsia="Times New Roman" w:hAnsi="Arial" w:cs="Arial"/>
                <w:lang w:eastAsia="en-GB"/>
              </w:rPr>
              <w:t xml:space="preserve">Proposed changes to Level </w:t>
            </w:r>
            <w:r>
              <w:rPr>
                <w:rFonts w:ascii="Arial" w:eastAsia="Times New Roman" w:hAnsi="Arial" w:cs="Arial"/>
                <w:lang w:eastAsia="en-GB"/>
              </w:rPr>
              <w:t>7</w:t>
            </w:r>
          </w:p>
        </w:tc>
        <w:tc>
          <w:tcPr>
            <w:tcW w:w="56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14:paraId="5AA5457D" w14:textId="0A66C2F3" w:rsidR="007A618D" w:rsidRPr="00FA7C7A" w:rsidRDefault="007A618D" w:rsidP="007A618D">
            <w:pPr>
              <w:spacing w:after="0" w:line="240" w:lineRule="auto"/>
              <w:contextualSpacing/>
              <w:rPr>
                <w:rFonts w:ascii="Arial" w:eastAsia="Times New Roman" w:hAnsi="Arial" w:cs="Arial"/>
                <w:lang w:eastAsia="en-GB"/>
              </w:rPr>
            </w:pPr>
            <w:r w:rsidRPr="00FA7C7A">
              <w:rPr>
                <w:rFonts w:ascii="Arial" w:eastAsia="Times New Roman" w:hAnsi="Arial" w:cs="Arial"/>
                <w:lang w:eastAsia="en-GB"/>
              </w:rPr>
              <w:t>Applicants to the programme who have been offered a place (informed only)</w:t>
            </w:r>
          </w:p>
        </w:tc>
      </w:tr>
    </w:tbl>
    <w:p w14:paraId="49DA3DC0" w14:textId="77777777" w:rsidR="00DD3E83" w:rsidRPr="00EA7283" w:rsidRDefault="00DD3E83" w:rsidP="00EA7283">
      <w:pPr>
        <w:pStyle w:val="Heading3"/>
        <w:shd w:val="clear" w:color="auto" w:fill="FFFFFF"/>
        <w:spacing w:before="0" w:beforeAutospacing="0" w:after="150" w:afterAutospacing="0"/>
        <w:contextualSpacing/>
        <w:rPr>
          <w:rFonts w:ascii="Arial" w:hAnsi="Arial" w:cs="Arial"/>
          <w:b w:val="0"/>
          <w:bCs w:val="0"/>
          <w:color w:val="414042"/>
          <w:sz w:val="22"/>
          <w:szCs w:val="22"/>
        </w:rPr>
      </w:pPr>
    </w:p>
    <w:p w14:paraId="59C2DCE7" w14:textId="77777777" w:rsidR="00C1639F" w:rsidRPr="00834B04" w:rsidRDefault="00463829" w:rsidP="001056E8">
      <w:pPr>
        <w:pStyle w:val="Heading1"/>
        <w:spacing w:line="240" w:lineRule="auto"/>
        <w:contextualSpacing/>
        <w:rPr>
          <w:rFonts w:ascii="Arial" w:hAnsi="Arial" w:cs="Arial"/>
          <w:sz w:val="22"/>
          <w:szCs w:val="22"/>
        </w:rPr>
      </w:pPr>
      <w:r w:rsidRPr="00463829">
        <w:rPr>
          <w:rFonts w:ascii="Arial" w:hAnsi="Arial" w:cs="Arial"/>
          <w:sz w:val="22"/>
          <w:szCs w:val="22"/>
        </w:rPr>
        <w:t>4.4</w:t>
      </w:r>
      <w:r w:rsidR="00AE3B26" w:rsidRPr="00463829">
        <w:rPr>
          <w:rFonts w:ascii="Arial" w:hAnsi="Arial" w:cs="Arial"/>
          <w:sz w:val="22"/>
          <w:szCs w:val="22"/>
        </w:rPr>
        <w:t xml:space="preserve"> </w:t>
      </w:r>
      <w:r w:rsidR="00DD3E83" w:rsidRPr="00834B04">
        <w:rPr>
          <w:rFonts w:ascii="Arial" w:hAnsi="Arial" w:cs="Arial"/>
          <w:sz w:val="22"/>
          <w:szCs w:val="22"/>
        </w:rPr>
        <w:t>W</w:t>
      </w:r>
      <w:r w:rsidR="00F63BC6" w:rsidRPr="00834B04">
        <w:rPr>
          <w:rFonts w:ascii="Arial" w:hAnsi="Arial" w:cs="Arial"/>
          <w:sz w:val="22"/>
          <w:szCs w:val="22"/>
        </w:rPr>
        <w:t>hen to seek consent</w:t>
      </w:r>
    </w:p>
    <w:p w14:paraId="222D7E7F" w14:textId="77777777" w:rsidR="003A1C92" w:rsidRPr="00834B04" w:rsidRDefault="003A1C92" w:rsidP="001056E8">
      <w:pPr>
        <w:pStyle w:val="Heading1"/>
        <w:spacing w:line="240" w:lineRule="auto"/>
        <w:contextualSpacing/>
        <w:rPr>
          <w:rFonts w:ascii="Arial" w:hAnsi="Arial" w:cs="Arial"/>
          <w:color w:val="414042"/>
          <w:sz w:val="22"/>
          <w:szCs w:val="22"/>
        </w:rPr>
      </w:pPr>
    </w:p>
    <w:tbl>
      <w:tblPr>
        <w:tblStyle w:val="TableGrid"/>
        <w:tblW w:w="0" w:type="auto"/>
        <w:tblLook w:val="04A0" w:firstRow="1" w:lastRow="0" w:firstColumn="1" w:lastColumn="0" w:noHBand="0" w:noVBand="1"/>
      </w:tblPr>
      <w:tblGrid>
        <w:gridCol w:w="4508"/>
        <w:gridCol w:w="4508"/>
      </w:tblGrid>
      <w:tr w:rsidR="003A1C92" w:rsidRPr="00834B04" w14:paraId="2EC7AD4B" w14:textId="77777777" w:rsidTr="63C499E6">
        <w:tc>
          <w:tcPr>
            <w:tcW w:w="4508" w:type="dxa"/>
          </w:tcPr>
          <w:p w14:paraId="5BAAE8E3" w14:textId="368396E1" w:rsidR="003A1C92" w:rsidRPr="00834B04" w:rsidRDefault="003A1C92" w:rsidP="003A1C92">
            <w:pPr>
              <w:pStyle w:val="Heading1"/>
              <w:contextualSpacing/>
              <w:outlineLvl w:val="0"/>
              <w:rPr>
                <w:rFonts w:ascii="Arial" w:hAnsi="Arial" w:cs="Arial"/>
                <w:color w:val="414042"/>
                <w:sz w:val="22"/>
                <w:szCs w:val="22"/>
              </w:rPr>
            </w:pPr>
            <w:r w:rsidRPr="00834B04">
              <w:rPr>
                <w:rFonts w:ascii="Arial" w:eastAsia="Times New Roman" w:hAnsi="Arial" w:cs="Arial"/>
                <w:b/>
                <w:bCs/>
                <w:color w:val="414042"/>
                <w:sz w:val="22"/>
                <w:szCs w:val="22"/>
                <w:lang w:eastAsia="en-GB"/>
              </w:rPr>
              <w:t>Change Definition</w:t>
            </w:r>
          </w:p>
        </w:tc>
        <w:tc>
          <w:tcPr>
            <w:tcW w:w="4508" w:type="dxa"/>
          </w:tcPr>
          <w:p w14:paraId="46B527E1" w14:textId="66650968" w:rsidR="003A1C92" w:rsidRPr="00834B04" w:rsidRDefault="003A1C92" w:rsidP="003A1C92">
            <w:pPr>
              <w:pStyle w:val="Heading1"/>
              <w:contextualSpacing/>
              <w:outlineLvl w:val="0"/>
              <w:rPr>
                <w:rFonts w:ascii="Arial" w:hAnsi="Arial" w:cs="Arial"/>
                <w:color w:val="414042"/>
                <w:sz w:val="22"/>
                <w:szCs w:val="22"/>
              </w:rPr>
            </w:pPr>
            <w:r w:rsidRPr="00834B04">
              <w:rPr>
                <w:rFonts w:ascii="Arial" w:eastAsia="Times New Roman" w:hAnsi="Arial" w:cs="Arial"/>
                <w:b/>
                <w:bCs/>
                <w:color w:val="414042"/>
                <w:sz w:val="22"/>
                <w:szCs w:val="22"/>
                <w:lang w:eastAsia="en-GB"/>
              </w:rPr>
              <w:t>Who will seek consent</w:t>
            </w:r>
          </w:p>
        </w:tc>
      </w:tr>
      <w:tr w:rsidR="003A1C92" w:rsidRPr="00834B04" w14:paraId="0893A121" w14:textId="77777777" w:rsidTr="63C499E6">
        <w:tc>
          <w:tcPr>
            <w:tcW w:w="4508" w:type="dxa"/>
          </w:tcPr>
          <w:p w14:paraId="3D4FE5D2" w14:textId="4664CF15" w:rsidR="003A1C92" w:rsidRPr="00834B04" w:rsidRDefault="49D62DCE" w:rsidP="003A1C92">
            <w:pPr>
              <w:pStyle w:val="Heading1"/>
              <w:contextualSpacing/>
              <w:outlineLvl w:val="0"/>
              <w:rPr>
                <w:rFonts w:ascii="Arial" w:hAnsi="Arial" w:cs="Arial"/>
                <w:color w:val="414042"/>
                <w:sz w:val="22"/>
                <w:szCs w:val="22"/>
              </w:rPr>
            </w:pPr>
            <w:r w:rsidRPr="63C499E6">
              <w:rPr>
                <w:rFonts w:ascii="Arial" w:hAnsi="Arial" w:cs="Arial"/>
                <w:color w:val="414042"/>
                <w:sz w:val="22"/>
                <w:szCs w:val="22"/>
              </w:rPr>
              <w:t>Programme title change (where this affects current cohort)</w:t>
            </w:r>
          </w:p>
        </w:tc>
        <w:tc>
          <w:tcPr>
            <w:tcW w:w="4508" w:type="dxa"/>
          </w:tcPr>
          <w:p w14:paraId="316FB43A" w14:textId="77777777" w:rsidR="003A1C92" w:rsidRPr="00834B04" w:rsidRDefault="003A1C92" w:rsidP="003A1C92">
            <w:pPr>
              <w:pStyle w:val="Heading1"/>
              <w:contextualSpacing/>
              <w:outlineLvl w:val="0"/>
              <w:rPr>
                <w:rFonts w:ascii="Arial" w:hAnsi="Arial" w:cs="Arial"/>
                <w:color w:val="auto"/>
                <w:sz w:val="22"/>
                <w:szCs w:val="22"/>
              </w:rPr>
            </w:pPr>
          </w:p>
          <w:p w14:paraId="3D307F62" w14:textId="46BF2CDC" w:rsidR="00022BFB" w:rsidRPr="00834B04" w:rsidRDefault="00022BFB" w:rsidP="00FA7C7A">
            <w:pPr>
              <w:rPr>
                <w:rFonts w:ascii="Arial" w:hAnsi="Arial" w:cs="Arial"/>
              </w:rPr>
            </w:pPr>
            <w:r w:rsidRPr="000363CE">
              <w:rPr>
                <w:rFonts w:ascii="Arial" w:hAnsi="Arial" w:cs="Arial"/>
              </w:rPr>
              <w:t>Academic Dept</w:t>
            </w:r>
          </w:p>
        </w:tc>
      </w:tr>
      <w:tr w:rsidR="00022BFB" w14:paraId="67EDACD8" w14:textId="77777777" w:rsidTr="000363CE">
        <w:tc>
          <w:tcPr>
            <w:tcW w:w="4508" w:type="dxa"/>
            <w:shd w:val="clear" w:color="auto" w:fill="auto"/>
          </w:tcPr>
          <w:p w14:paraId="65080373" w14:textId="208B836F" w:rsidR="00022BFB" w:rsidRPr="00834B04" w:rsidRDefault="49D62DCE" w:rsidP="003A1C92">
            <w:pPr>
              <w:pStyle w:val="Heading1"/>
              <w:contextualSpacing/>
              <w:outlineLvl w:val="0"/>
              <w:rPr>
                <w:rFonts w:ascii="Arial" w:hAnsi="Arial" w:cs="Arial"/>
                <w:color w:val="414042"/>
                <w:sz w:val="22"/>
                <w:szCs w:val="22"/>
              </w:rPr>
            </w:pPr>
            <w:r w:rsidRPr="000363CE">
              <w:rPr>
                <w:rFonts w:ascii="Arial" w:hAnsi="Arial" w:cs="Arial"/>
                <w:color w:val="auto"/>
                <w:sz w:val="22"/>
                <w:szCs w:val="22"/>
              </w:rPr>
              <w:t>Programme duration (</w:t>
            </w:r>
            <w:r w:rsidRPr="000363CE">
              <w:rPr>
                <w:rFonts w:ascii="Arial" w:hAnsi="Arial" w:cs="Arial"/>
                <w:color w:val="auto"/>
                <w:sz w:val="22"/>
                <w:szCs w:val="22"/>
                <w:shd w:val="clear" w:color="auto" w:fill="FFFFFF" w:themeFill="background1"/>
              </w:rPr>
              <w:t xml:space="preserve">where </w:t>
            </w:r>
            <w:r w:rsidRPr="000363CE">
              <w:rPr>
                <w:rFonts w:ascii="Arial" w:hAnsi="Arial" w:cs="Arial"/>
                <w:color w:val="auto"/>
                <w:sz w:val="22"/>
                <w:szCs w:val="22"/>
              </w:rPr>
              <w:t>this affects</w:t>
            </w:r>
            <w:r w:rsidRPr="00834B04">
              <w:rPr>
                <w:rFonts w:ascii="Arial" w:hAnsi="Arial" w:cs="Arial"/>
                <w:color w:val="auto"/>
                <w:sz w:val="22"/>
                <w:szCs w:val="22"/>
                <w:shd w:val="clear" w:color="auto" w:fill="E6E6E6"/>
              </w:rPr>
              <w:t xml:space="preserve"> </w:t>
            </w:r>
            <w:r w:rsidRPr="000363CE">
              <w:rPr>
                <w:rFonts w:ascii="Arial" w:hAnsi="Arial" w:cs="Arial"/>
                <w:color w:val="auto"/>
                <w:sz w:val="22"/>
                <w:szCs w:val="22"/>
              </w:rPr>
              <w:t>current cohort)</w:t>
            </w:r>
          </w:p>
        </w:tc>
        <w:tc>
          <w:tcPr>
            <w:tcW w:w="4508" w:type="dxa"/>
          </w:tcPr>
          <w:p w14:paraId="55F71BFD" w14:textId="77777777" w:rsidR="00022BFB" w:rsidRPr="00834B04" w:rsidRDefault="00022BFB" w:rsidP="003A1C92">
            <w:pPr>
              <w:pStyle w:val="Heading1"/>
              <w:contextualSpacing/>
              <w:outlineLvl w:val="0"/>
              <w:rPr>
                <w:rFonts w:ascii="Arial" w:hAnsi="Arial" w:cs="Arial"/>
                <w:color w:val="414042"/>
                <w:sz w:val="22"/>
                <w:szCs w:val="22"/>
              </w:rPr>
            </w:pPr>
          </w:p>
          <w:p w14:paraId="7F7934DB" w14:textId="4D8A8402" w:rsidR="00022BFB" w:rsidRPr="00834B04" w:rsidRDefault="00022BFB" w:rsidP="003A1C92">
            <w:pPr>
              <w:pStyle w:val="Heading1"/>
              <w:contextualSpacing/>
              <w:outlineLvl w:val="0"/>
              <w:rPr>
                <w:rFonts w:ascii="Arial" w:hAnsi="Arial" w:cs="Arial"/>
                <w:color w:val="414042"/>
                <w:sz w:val="22"/>
                <w:szCs w:val="22"/>
              </w:rPr>
            </w:pPr>
            <w:r w:rsidRPr="00834B04">
              <w:rPr>
                <w:rFonts w:ascii="Arial" w:hAnsi="Arial" w:cs="Arial"/>
                <w:color w:val="414042"/>
                <w:sz w:val="22"/>
                <w:szCs w:val="22"/>
              </w:rPr>
              <w:t>Academic Dept</w:t>
            </w:r>
          </w:p>
        </w:tc>
      </w:tr>
    </w:tbl>
    <w:p w14:paraId="1C41B225" w14:textId="77777777" w:rsidR="003A1C92" w:rsidRDefault="003A1C92" w:rsidP="001056E8">
      <w:pPr>
        <w:pStyle w:val="Heading1"/>
        <w:spacing w:line="240" w:lineRule="auto"/>
        <w:contextualSpacing/>
        <w:rPr>
          <w:rFonts w:ascii="Arial" w:hAnsi="Arial" w:cs="Arial"/>
          <w:color w:val="414042"/>
          <w:sz w:val="22"/>
          <w:szCs w:val="22"/>
          <w:highlight w:val="cyan"/>
        </w:rPr>
      </w:pPr>
    </w:p>
    <w:p w14:paraId="3C0038DB" w14:textId="267C56D5" w:rsidR="00C1639F" w:rsidRPr="00834B04" w:rsidRDefault="00F63BC6" w:rsidP="00885DE6">
      <w:pPr>
        <w:shd w:val="clear" w:color="auto" w:fill="FFFFFF" w:themeFill="background1"/>
        <w:rPr>
          <w:rFonts w:ascii="Arial" w:hAnsi="Arial" w:cs="Arial"/>
        </w:rPr>
      </w:pPr>
      <w:r w:rsidRPr="0076170B">
        <w:rPr>
          <w:rFonts w:ascii="Arial" w:hAnsi="Arial" w:cs="Arial"/>
          <w:color w:val="414042"/>
        </w:rPr>
        <w:t xml:space="preserve">Consent should be obtained when changes are </w:t>
      </w:r>
      <w:r w:rsidR="00477AB8" w:rsidRPr="0076170B">
        <w:rPr>
          <w:rFonts w:ascii="Arial" w:hAnsi="Arial" w:cs="Arial"/>
          <w:color w:val="414042"/>
        </w:rPr>
        <w:t>made to</w:t>
      </w:r>
      <w:r w:rsidR="00851EEA" w:rsidRPr="0076170B">
        <w:rPr>
          <w:rFonts w:ascii="Arial" w:hAnsi="Arial" w:cs="Arial"/>
          <w:color w:val="414042"/>
        </w:rPr>
        <w:t xml:space="preserve"> a programm</w:t>
      </w:r>
      <w:r w:rsidR="004A2E91" w:rsidRPr="0076170B">
        <w:rPr>
          <w:rFonts w:ascii="Arial" w:hAnsi="Arial" w:cs="Arial"/>
          <w:color w:val="414042"/>
        </w:rPr>
        <w:t>e</w:t>
      </w:r>
      <w:r w:rsidR="00851EEA" w:rsidRPr="0076170B">
        <w:rPr>
          <w:rFonts w:ascii="Arial" w:hAnsi="Arial" w:cs="Arial"/>
          <w:color w:val="414042"/>
        </w:rPr>
        <w:t xml:space="preserve"> title (which will directly affect the current cohort of students), or </w:t>
      </w:r>
      <w:r w:rsidR="004A2E91" w:rsidRPr="0076170B">
        <w:rPr>
          <w:rFonts w:ascii="Arial" w:hAnsi="Arial" w:cs="Arial"/>
          <w:color w:val="414042"/>
        </w:rPr>
        <w:t>programme duration (which will directly affect the current cohort of students).</w:t>
      </w:r>
      <w:r w:rsidR="00EF3789" w:rsidRPr="0076170B">
        <w:rPr>
          <w:rFonts w:ascii="Arial" w:hAnsi="Arial" w:cs="Arial"/>
          <w:color w:val="414042"/>
        </w:rPr>
        <w:t xml:space="preserve"> It is anticipated that these changes will be rare, but there are occasions where they can occu</w:t>
      </w:r>
      <w:r w:rsidR="0076170B">
        <w:rPr>
          <w:rFonts w:ascii="Arial" w:hAnsi="Arial" w:cs="Arial"/>
          <w:color w:val="414042"/>
        </w:rPr>
        <w:t xml:space="preserve">r. </w:t>
      </w:r>
      <w:r w:rsidR="0099624D" w:rsidRPr="63C499E6">
        <w:rPr>
          <w:rFonts w:ascii="Arial" w:hAnsi="Arial" w:cs="Arial"/>
          <w:color w:val="414042"/>
        </w:rPr>
        <w:t xml:space="preserve"> </w:t>
      </w:r>
      <w:r w:rsidR="0099624D" w:rsidRPr="00AC3767">
        <w:rPr>
          <w:rFonts w:ascii="Arial" w:hAnsi="Arial" w:cs="Arial"/>
        </w:rPr>
        <w:t>In general, new programme titles or durations should be implemented for a new cohort of students</w:t>
      </w:r>
      <w:r w:rsidR="00540365" w:rsidRPr="00AC3767">
        <w:rPr>
          <w:rFonts w:ascii="Arial" w:hAnsi="Arial" w:cs="Arial"/>
        </w:rPr>
        <w:t xml:space="preserve">, and any current students </w:t>
      </w:r>
      <w:r w:rsidR="00410361" w:rsidRPr="00AC3767">
        <w:rPr>
          <w:rFonts w:ascii="Arial" w:hAnsi="Arial" w:cs="Arial"/>
        </w:rPr>
        <w:t>will</w:t>
      </w:r>
      <w:r w:rsidR="00540365" w:rsidRPr="00AC3767">
        <w:rPr>
          <w:rFonts w:ascii="Arial" w:hAnsi="Arial" w:cs="Arial"/>
        </w:rPr>
        <w:t xml:space="preserve"> remain on the ‘old’ version of the programme</w:t>
      </w:r>
      <w:r w:rsidR="00F1401C" w:rsidRPr="00AC3767">
        <w:rPr>
          <w:rFonts w:ascii="Arial" w:hAnsi="Arial" w:cs="Arial"/>
        </w:rPr>
        <w:t xml:space="preserve"> until is phases out</w:t>
      </w:r>
      <w:r w:rsidR="00F1401C" w:rsidRPr="00902340">
        <w:rPr>
          <w:rFonts w:ascii="Arial" w:hAnsi="Arial" w:cs="Arial"/>
          <w:shd w:val="clear" w:color="auto" w:fill="E6E6E6"/>
        </w:rPr>
        <w:t>.</w:t>
      </w:r>
      <w:r w:rsidR="00F1401C" w:rsidRPr="00834B04">
        <w:rPr>
          <w:rFonts w:ascii="Arial" w:hAnsi="Arial" w:cs="Arial"/>
          <w:shd w:val="clear" w:color="auto" w:fill="E6E6E6"/>
        </w:rPr>
        <w:t xml:space="preserve"> </w:t>
      </w:r>
    </w:p>
    <w:p w14:paraId="6F35A7E7" w14:textId="75719FEB" w:rsidR="00F63BC6" w:rsidRPr="00EA7283" w:rsidRDefault="00F63BC6" w:rsidP="001056E8">
      <w:pPr>
        <w:pStyle w:val="NormalWeb"/>
        <w:shd w:val="clear" w:color="auto" w:fill="FFFFFF"/>
        <w:contextualSpacing/>
        <w:rPr>
          <w:rFonts w:ascii="Arial" w:hAnsi="Arial" w:cs="Arial"/>
          <w:color w:val="414042"/>
          <w:sz w:val="22"/>
          <w:szCs w:val="22"/>
        </w:rPr>
      </w:pPr>
      <w:r w:rsidRPr="00477AB8">
        <w:rPr>
          <w:rFonts w:ascii="Arial" w:hAnsi="Arial" w:cs="Arial"/>
          <w:color w:val="414042"/>
          <w:sz w:val="22"/>
          <w:szCs w:val="22"/>
        </w:rPr>
        <w:t>In th</w:t>
      </w:r>
      <w:r w:rsidR="006B4A0E" w:rsidRPr="00477AB8">
        <w:rPr>
          <w:rFonts w:ascii="Arial" w:hAnsi="Arial" w:cs="Arial"/>
          <w:color w:val="414042"/>
          <w:sz w:val="22"/>
          <w:szCs w:val="22"/>
        </w:rPr>
        <w:t>ese</w:t>
      </w:r>
      <w:r w:rsidRPr="00477AB8">
        <w:rPr>
          <w:rFonts w:ascii="Arial" w:hAnsi="Arial" w:cs="Arial"/>
          <w:color w:val="414042"/>
          <w:sz w:val="22"/>
          <w:szCs w:val="22"/>
        </w:rPr>
        <w:t xml:space="preserve"> situation</w:t>
      </w:r>
      <w:r w:rsidR="006B4A0E" w:rsidRPr="00477AB8">
        <w:rPr>
          <w:rFonts w:ascii="Arial" w:hAnsi="Arial" w:cs="Arial"/>
          <w:color w:val="414042"/>
          <w:sz w:val="22"/>
          <w:szCs w:val="22"/>
        </w:rPr>
        <w:t>s</w:t>
      </w:r>
      <w:r w:rsidRPr="00477AB8">
        <w:rPr>
          <w:rFonts w:ascii="Arial" w:hAnsi="Arial" w:cs="Arial"/>
          <w:color w:val="414042"/>
          <w:sz w:val="22"/>
          <w:szCs w:val="22"/>
        </w:rPr>
        <w:t xml:space="preserve">, </w:t>
      </w:r>
      <w:r w:rsidR="00507E21" w:rsidRPr="00477AB8">
        <w:rPr>
          <w:rFonts w:ascii="Arial" w:hAnsi="Arial" w:cs="Arial"/>
          <w:color w:val="414042"/>
          <w:sz w:val="22"/>
          <w:szCs w:val="22"/>
        </w:rPr>
        <w:t xml:space="preserve">academic </w:t>
      </w:r>
      <w:r w:rsidRPr="00477AB8">
        <w:rPr>
          <w:rFonts w:ascii="Arial" w:hAnsi="Arial" w:cs="Arial"/>
          <w:color w:val="414042"/>
          <w:sz w:val="22"/>
          <w:szCs w:val="22"/>
        </w:rPr>
        <w:t xml:space="preserve">departments are expected to consult </w:t>
      </w:r>
      <w:r w:rsidR="00994AE6" w:rsidRPr="00477AB8">
        <w:rPr>
          <w:rFonts w:ascii="Arial" w:hAnsi="Arial" w:cs="Arial"/>
          <w:color w:val="414042"/>
          <w:sz w:val="22"/>
          <w:szCs w:val="22"/>
        </w:rPr>
        <w:t>with all</w:t>
      </w:r>
      <w:r w:rsidR="00992192" w:rsidRPr="00477AB8">
        <w:rPr>
          <w:rFonts w:ascii="Arial" w:hAnsi="Arial" w:cs="Arial"/>
          <w:color w:val="414042"/>
          <w:sz w:val="22"/>
          <w:szCs w:val="22"/>
        </w:rPr>
        <w:t xml:space="preserve"> </w:t>
      </w:r>
      <w:r w:rsidRPr="00477AB8">
        <w:rPr>
          <w:rFonts w:ascii="Arial" w:hAnsi="Arial" w:cs="Arial"/>
          <w:color w:val="414042"/>
          <w:sz w:val="22"/>
          <w:szCs w:val="22"/>
        </w:rPr>
        <w:t>students</w:t>
      </w:r>
      <w:r w:rsidR="00992192" w:rsidRPr="00477AB8">
        <w:rPr>
          <w:rFonts w:ascii="Arial" w:hAnsi="Arial" w:cs="Arial"/>
          <w:color w:val="414042"/>
          <w:sz w:val="22"/>
          <w:szCs w:val="22"/>
        </w:rPr>
        <w:t xml:space="preserve"> affected</w:t>
      </w:r>
      <w:r w:rsidRPr="00477AB8">
        <w:rPr>
          <w:rFonts w:ascii="Arial" w:hAnsi="Arial" w:cs="Arial"/>
          <w:color w:val="414042"/>
          <w:sz w:val="22"/>
          <w:szCs w:val="22"/>
        </w:rPr>
        <w:t xml:space="preserve"> and gain consent for the changes. Copies of consent should be kept by departments</w:t>
      </w:r>
      <w:r w:rsidRPr="00EA7283">
        <w:rPr>
          <w:rFonts w:ascii="Arial" w:hAnsi="Arial" w:cs="Arial"/>
          <w:color w:val="414042"/>
          <w:sz w:val="22"/>
          <w:szCs w:val="22"/>
        </w:rPr>
        <w:t>.</w:t>
      </w:r>
    </w:p>
    <w:p w14:paraId="19826039" w14:textId="6410EF0C" w:rsidR="00C1639F" w:rsidRPr="00F63BC6" w:rsidRDefault="00C1639F" w:rsidP="00C1639F">
      <w:pPr>
        <w:pStyle w:val="Heading1"/>
        <w:rPr>
          <w:rFonts w:ascii="Arial" w:eastAsia="Times New Roman" w:hAnsi="Arial" w:cs="Arial"/>
          <w:sz w:val="22"/>
          <w:szCs w:val="22"/>
          <w:lang w:eastAsia="en-GB"/>
        </w:rPr>
      </w:pPr>
      <w:r w:rsidRPr="00C1639F">
        <w:rPr>
          <w:rFonts w:ascii="Arial" w:eastAsia="Times New Roman" w:hAnsi="Arial" w:cs="Arial"/>
          <w:sz w:val="22"/>
          <w:szCs w:val="22"/>
          <w:lang w:eastAsia="en-GB"/>
        </w:rPr>
        <w:t>4.5</w:t>
      </w:r>
      <w:r w:rsidR="00AE3B26" w:rsidRPr="00C1639F">
        <w:rPr>
          <w:rFonts w:ascii="Arial" w:eastAsia="Times New Roman" w:hAnsi="Arial" w:cs="Arial"/>
          <w:sz w:val="22"/>
          <w:szCs w:val="22"/>
          <w:lang w:eastAsia="en-GB"/>
        </w:rPr>
        <w:t xml:space="preserve"> </w:t>
      </w:r>
      <w:r w:rsidRPr="00C1639F">
        <w:rPr>
          <w:rFonts w:ascii="Arial" w:eastAsia="Times New Roman" w:hAnsi="Arial" w:cs="Arial"/>
          <w:sz w:val="22"/>
          <w:szCs w:val="22"/>
          <w:lang w:eastAsia="en-GB"/>
        </w:rPr>
        <w:t>Complaints</w:t>
      </w:r>
    </w:p>
    <w:p w14:paraId="70FB2FF7" w14:textId="77777777" w:rsidR="009E295B" w:rsidRPr="00F63BC6" w:rsidRDefault="009E295B" w:rsidP="00EA7283">
      <w:pPr>
        <w:spacing w:after="0" w:line="240" w:lineRule="auto"/>
        <w:contextualSpacing/>
        <w:rPr>
          <w:rFonts w:ascii="Arial" w:eastAsia="Times New Roman" w:hAnsi="Arial" w:cs="Arial"/>
          <w:lang w:eastAsia="en-GB"/>
        </w:rPr>
      </w:pPr>
      <w:r w:rsidRPr="00F63BC6">
        <w:rPr>
          <w:rFonts w:ascii="Arial" w:eastAsia="Times New Roman" w:hAnsi="Arial" w:cs="Arial"/>
          <w:color w:val="000000"/>
          <w:shd w:val="clear" w:color="auto" w:fill="FFFFFF"/>
          <w:lang w:eastAsia="en-GB"/>
        </w:rPr>
        <w:t>Complaints about published information should be handled as follows:</w:t>
      </w:r>
    </w:p>
    <w:p w14:paraId="6F6C0ADE" w14:textId="418E269F" w:rsidR="009E295B" w:rsidRPr="00203D71" w:rsidRDefault="009E295B" w:rsidP="00EA7283">
      <w:pPr>
        <w:numPr>
          <w:ilvl w:val="0"/>
          <w:numId w:val="4"/>
        </w:numPr>
        <w:shd w:val="clear" w:color="auto" w:fill="FFFFFF"/>
        <w:spacing w:before="60" w:after="60" w:line="240" w:lineRule="auto"/>
        <w:ind w:left="1080"/>
        <w:contextualSpacing/>
        <w:rPr>
          <w:rFonts w:ascii="Arial" w:eastAsia="Times New Roman" w:hAnsi="Arial" w:cs="Arial"/>
          <w:color w:val="000000"/>
          <w:lang w:eastAsia="en-GB"/>
        </w:rPr>
      </w:pPr>
      <w:r w:rsidRPr="00203D71">
        <w:rPr>
          <w:rFonts w:ascii="Arial" w:eastAsia="Times New Roman" w:hAnsi="Arial" w:cs="Arial"/>
          <w:color w:val="000000"/>
          <w:lang w:eastAsia="en-GB"/>
        </w:rPr>
        <w:t xml:space="preserve">Pre-contractual (applicants) – </w:t>
      </w:r>
      <w:r w:rsidR="009521DA" w:rsidRPr="00203D71">
        <w:rPr>
          <w:rFonts w:ascii="Arial" w:eastAsia="Times New Roman" w:hAnsi="Arial" w:cs="Arial"/>
          <w:color w:val="000000"/>
          <w:lang w:eastAsia="en-GB"/>
        </w:rPr>
        <w:t xml:space="preserve">Admissions Manager, </w:t>
      </w:r>
      <w:r w:rsidR="00833851">
        <w:rPr>
          <w:rFonts w:ascii="Arial" w:eastAsia="Times New Roman" w:hAnsi="Arial" w:cs="Arial"/>
          <w:color w:val="000000"/>
          <w:lang w:eastAsia="en-GB"/>
        </w:rPr>
        <w:t>GM&amp;B</w:t>
      </w:r>
    </w:p>
    <w:p w14:paraId="1EE9D578" w14:textId="7E087D4C" w:rsidR="009E295B" w:rsidRPr="00203D71" w:rsidRDefault="009E295B" w:rsidP="00EA7283">
      <w:pPr>
        <w:numPr>
          <w:ilvl w:val="0"/>
          <w:numId w:val="4"/>
        </w:numPr>
        <w:shd w:val="clear" w:color="auto" w:fill="FFFFFF"/>
        <w:spacing w:before="60" w:after="60" w:line="240" w:lineRule="auto"/>
        <w:ind w:left="1080"/>
        <w:contextualSpacing/>
        <w:rPr>
          <w:rFonts w:ascii="Arial" w:eastAsia="Times New Roman" w:hAnsi="Arial" w:cs="Arial"/>
          <w:color w:val="000000"/>
          <w:lang w:eastAsia="en-GB"/>
        </w:rPr>
      </w:pPr>
      <w:r w:rsidRPr="00203D71">
        <w:rPr>
          <w:rFonts w:ascii="Arial" w:eastAsia="Times New Roman" w:hAnsi="Arial" w:cs="Arial"/>
          <w:color w:val="000000"/>
          <w:lang w:eastAsia="en-GB"/>
        </w:rPr>
        <w:lastRenderedPageBreak/>
        <w:t xml:space="preserve">Post-contractual (students) – </w:t>
      </w:r>
      <w:r w:rsidR="009521DA" w:rsidRPr="00203D71">
        <w:rPr>
          <w:rFonts w:ascii="Arial" w:eastAsia="Times New Roman" w:hAnsi="Arial" w:cs="Arial"/>
          <w:color w:val="000000"/>
          <w:lang w:eastAsia="en-GB"/>
        </w:rPr>
        <w:t>Case work team</w:t>
      </w:r>
      <w:r w:rsidR="00857265" w:rsidRPr="00203D71">
        <w:rPr>
          <w:rFonts w:ascii="Arial" w:eastAsia="Times New Roman" w:hAnsi="Arial" w:cs="Arial"/>
          <w:color w:val="000000"/>
          <w:lang w:eastAsia="en-GB"/>
        </w:rPr>
        <w:t>, Student Engagement</w:t>
      </w:r>
      <w:r w:rsidR="00D95FD1" w:rsidRPr="00203D71">
        <w:rPr>
          <w:rFonts w:ascii="Arial" w:eastAsia="Times New Roman" w:hAnsi="Arial" w:cs="Arial"/>
          <w:color w:val="000000"/>
          <w:lang w:eastAsia="en-GB"/>
        </w:rPr>
        <w:t xml:space="preserve">, </w:t>
      </w:r>
      <w:r w:rsidR="009521DA" w:rsidRPr="00203D71">
        <w:rPr>
          <w:rFonts w:ascii="Arial" w:eastAsia="Times New Roman" w:hAnsi="Arial" w:cs="Arial"/>
          <w:color w:val="000000"/>
          <w:lang w:eastAsia="en-GB"/>
        </w:rPr>
        <w:t>SLAS</w:t>
      </w:r>
    </w:p>
    <w:p w14:paraId="010BE4F3" w14:textId="77777777" w:rsidR="00C1639F" w:rsidRDefault="00C1639F" w:rsidP="00EA7283">
      <w:pPr>
        <w:spacing w:line="240" w:lineRule="auto"/>
        <w:contextualSpacing/>
        <w:rPr>
          <w:rFonts w:ascii="Arial" w:eastAsia="Times New Roman" w:hAnsi="Arial" w:cs="Arial"/>
          <w:color w:val="000000"/>
          <w:shd w:val="clear" w:color="auto" w:fill="FFFFFF"/>
          <w:lang w:eastAsia="en-GB"/>
        </w:rPr>
      </w:pPr>
    </w:p>
    <w:p w14:paraId="0BAF28F3" w14:textId="39B21CE9" w:rsidR="009E295B" w:rsidRPr="00EA7283" w:rsidRDefault="009E295B" w:rsidP="00EA7283">
      <w:pPr>
        <w:spacing w:line="240" w:lineRule="auto"/>
        <w:contextualSpacing/>
        <w:rPr>
          <w:rFonts w:ascii="Arial" w:eastAsia="Times New Roman" w:hAnsi="Arial" w:cs="Arial"/>
          <w:color w:val="000000"/>
          <w:shd w:val="clear" w:color="auto" w:fill="FFFFFF"/>
          <w:lang w:eastAsia="en-GB"/>
        </w:rPr>
      </w:pPr>
      <w:r w:rsidRPr="00EA7283">
        <w:rPr>
          <w:rFonts w:ascii="Arial" w:eastAsia="Times New Roman" w:hAnsi="Arial" w:cs="Arial"/>
          <w:color w:val="000000"/>
          <w:shd w:val="clear" w:color="auto" w:fill="FFFFFF"/>
          <w:lang w:eastAsia="en-GB"/>
        </w:rPr>
        <w:t xml:space="preserve">In both cases the sources of the published information will be investigated to determine </w:t>
      </w:r>
      <w:proofErr w:type="gramStart"/>
      <w:r w:rsidRPr="00EA7283">
        <w:rPr>
          <w:rFonts w:ascii="Arial" w:eastAsia="Times New Roman" w:hAnsi="Arial" w:cs="Arial"/>
          <w:color w:val="000000"/>
          <w:shd w:val="clear" w:color="auto" w:fill="FFFFFF"/>
          <w:lang w:eastAsia="en-GB"/>
        </w:rPr>
        <w:t>if and when</w:t>
      </w:r>
      <w:proofErr w:type="gramEnd"/>
      <w:r w:rsidRPr="00EA7283">
        <w:rPr>
          <w:rFonts w:ascii="Arial" w:eastAsia="Times New Roman" w:hAnsi="Arial" w:cs="Arial"/>
          <w:color w:val="000000"/>
          <w:shd w:val="clear" w:color="auto" w:fill="FFFFFF"/>
          <w:lang w:eastAsia="en-GB"/>
        </w:rPr>
        <w:t xml:space="preserve"> an information discrepancy occurred, and how best to achieve a satisfactory resolution.</w:t>
      </w:r>
    </w:p>
    <w:p w14:paraId="72F1E74E" w14:textId="7C5A4D2E" w:rsidR="00F63BC6" w:rsidRPr="00EA7283" w:rsidRDefault="00F63BC6" w:rsidP="00EA7283">
      <w:pPr>
        <w:spacing w:line="240" w:lineRule="auto"/>
        <w:contextualSpacing/>
        <w:rPr>
          <w:rFonts w:ascii="Arial" w:hAnsi="Arial" w:cs="Arial"/>
        </w:rPr>
      </w:pPr>
    </w:p>
    <w:p w14:paraId="2FCF9563" w14:textId="77777777" w:rsidR="00F63BC6" w:rsidRPr="00EA7283" w:rsidRDefault="00F63BC6" w:rsidP="00992192">
      <w:pPr>
        <w:spacing w:after="0" w:line="240" w:lineRule="auto"/>
        <w:contextualSpacing/>
        <w:rPr>
          <w:rFonts w:ascii="Arial" w:eastAsia="Arial" w:hAnsi="Arial" w:cs="Arial"/>
          <w:color w:val="000000" w:themeColor="text1"/>
        </w:rPr>
      </w:pPr>
    </w:p>
    <w:p w14:paraId="4190873A" w14:textId="760C2F7A" w:rsidR="00011626" w:rsidRDefault="00011626">
      <w:pPr>
        <w:rPr>
          <w:rFonts w:ascii="Arial" w:hAnsi="Arial" w:cs="Arial"/>
        </w:rPr>
      </w:pPr>
      <w:r>
        <w:rPr>
          <w:rFonts w:ascii="Arial" w:hAnsi="Arial" w:cs="Arial"/>
        </w:rPr>
        <w:br w:type="page"/>
      </w:r>
    </w:p>
    <w:p w14:paraId="4C86638A" w14:textId="5568BD6A" w:rsidR="001F73AF" w:rsidRDefault="00011626" w:rsidP="00EA7283">
      <w:pPr>
        <w:spacing w:line="240" w:lineRule="auto"/>
        <w:contextualSpacing/>
        <w:rPr>
          <w:rFonts w:ascii="Arial" w:hAnsi="Arial" w:cs="Arial"/>
        </w:rPr>
      </w:pPr>
      <w:r w:rsidRPr="28C1A73D">
        <w:rPr>
          <w:rFonts w:ascii="Arial" w:hAnsi="Arial" w:cs="Arial"/>
        </w:rPr>
        <w:lastRenderedPageBreak/>
        <w:t>Appendix 1</w:t>
      </w:r>
    </w:p>
    <w:p w14:paraId="2E3776F5" w14:textId="71135515" w:rsidR="00011626" w:rsidRDefault="00011626" w:rsidP="00EA7283">
      <w:pPr>
        <w:spacing w:line="240" w:lineRule="auto"/>
        <w:contextualSpacing/>
        <w:rPr>
          <w:rFonts w:ascii="Arial" w:hAnsi="Arial" w:cs="Arial"/>
        </w:rPr>
      </w:pPr>
    </w:p>
    <w:p w14:paraId="0DB3FA66" w14:textId="77777777" w:rsidR="007357A1" w:rsidRDefault="007357A1" w:rsidP="00EA7283">
      <w:pPr>
        <w:spacing w:line="240" w:lineRule="auto"/>
        <w:contextualSpacing/>
        <w:rPr>
          <w:rFonts w:ascii="Arial" w:hAnsi="Arial" w:cs="Arial"/>
        </w:rPr>
      </w:pPr>
    </w:p>
    <w:tbl>
      <w:tblPr>
        <w:tblStyle w:val="TableGrid"/>
        <w:tblW w:w="10201" w:type="dxa"/>
        <w:jc w:val="center"/>
        <w:tblLook w:val="04A0" w:firstRow="1" w:lastRow="0" w:firstColumn="1" w:lastColumn="0" w:noHBand="0" w:noVBand="1"/>
      </w:tblPr>
      <w:tblGrid>
        <w:gridCol w:w="1879"/>
        <w:gridCol w:w="1376"/>
        <w:gridCol w:w="1843"/>
        <w:gridCol w:w="2268"/>
        <w:gridCol w:w="2835"/>
      </w:tblGrid>
      <w:tr w:rsidR="00833851" w:rsidRPr="00833851" w14:paraId="6F600226" w14:textId="5626FE77" w:rsidTr="00833851">
        <w:trPr>
          <w:tblHeader/>
          <w:jc w:val="center"/>
        </w:trPr>
        <w:tc>
          <w:tcPr>
            <w:tcW w:w="1879" w:type="dxa"/>
            <w:shd w:val="clear" w:color="auto" w:fill="D9D9D9" w:themeFill="background1" w:themeFillShade="D9"/>
          </w:tcPr>
          <w:p w14:paraId="2AD3063C" w14:textId="10B4ED1D" w:rsidR="004E306C" w:rsidRPr="00833851" w:rsidRDefault="004E306C" w:rsidP="00EA7283">
            <w:pPr>
              <w:contextualSpacing/>
              <w:rPr>
                <w:rFonts w:ascii="Arial" w:hAnsi="Arial" w:cs="Arial"/>
                <w:b/>
                <w:bCs/>
              </w:rPr>
            </w:pPr>
            <w:r w:rsidRPr="00833851">
              <w:rPr>
                <w:rFonts w:ascii="Arial" w:hAnsi="Arial" w:cs="Arial"/>
                <w:b/>
                <w:bCs/>
                <w:shd w:val="clear" w:color="auto" w:fill="E6E6E6"/>
              </w:rPr>
              <w:t>Programme Attribute</w:t>
            </w:r>
          </w:p>
        </w:tc>
        <w:tc>
          <w:tcPr>
            <w:tcW w:w="1376" w:type="dxa"/>
            <w:shd w:val="clear" w:color="auto" w:fill="D9D9D9" w:themeFill="background1" w:themeFillShade="D9"/>
          </w:tcPr>
          <w:p w14:paraId="7CA2E4D0" w14:textId="7E256F5C" w:rsidR="004E306C" w:rsidRPr="00833851" w:rsidRDefault="004E306C" w:rsidP="00EA7283">
            <w:pPr>
              <w:contextualSpacing/>
              <w:rPr>
                <w:rFonts w:ascii="Arial" w:hAnsi="Arial" w:cs="Arial"/>
                <w:b/>
                <w:bCs/>
              </w:rPr>
            </w:pPr>
            <w:r w:rsidRPr="00833851">
              <w:rPr>
                <w:rFonts w:ascii="Arial" w:hAnsi="Arial" w:cs="Arial"/>
                <w:b/>
                <w:bCs/>
                <w:shd w:val="clear" w:color="auto" w:fill="E6E6E6"/>
              </w:rPr>
              <w:t>Data Owner</w:t>
            </w:r>
          </w:p>
        </w:tc>
        <w:tc>
          <w:tcPr>
            <w:tcW w:w="1843" w:type="dxa"/>
            <w:shd w:val="clear" w:color="auto" w:fill="D9D9D9" w:themeFill="background1" w:themeFillShade="D9"/>
          </w:tcPr>
          <w:p w14:paraId="10310889" w14:textId="7F8F5AB0" w:rsidR="004E306C" w:rsidRPr="00833851" w:rsidRDefault="004E306C" w:rsidP="00EA7283">
            <w:pPr>
              <w:contextualSpacing/>
              <w:rPr>
                <w:rFonts w:ascii="Arial" w:hAnsi="Arial" w:cs="Arial"/>
                <w:b/>
                <w:bCs/>
              </w:rPr>
            </w:pPr>
            <w:r w:rsidRPr="00833851">
              <w:rPr>
                <w:rFonts w:ascii="Arial" w:hAnsi="Arial" w:cs="Arial"/>
                <w:b/>
                <w:bCs/>
                <w:shd w:val="clear" w:color="auto" w:fill="E6E6E6"/>
              </w:rPr>
              <w:t>Change Approval via</w:t>
            </w:r>
          </w:p>
        </w:tc>
        <w:tc>
          <w:tcPr>
            <w:tcW w:w="2268" w:type="dxa"/>
            <w:shd w:val="clear" w:color="auto" w:fill="D9D9D9" w:themeFill="background1" w:themeFillShade="D9"/>
          </w:tcPr>
          <w:p w14:paraId="442124BE" w14:textId="7FE4CD6A" w:rsidR="004E306C" w:rsidRPr="00833851" w:rsidRDefault="004E306C" w:rsidP="00EA7283">
            <w:pPr>
              <w:contextualSpacing/>
              <w:rPr>
                <w:rFonts w:ascii="Arial" w:hAnsi="Arial" w:cs="Arial"/>
                <w:b/>
                <w:bCs/>
              </w:rPr>
            </w:pPr>
            <w:r w:rsidRPr="00833851">
              <w:rPr>
                <w:rFonts w:ascii="Arial" w:hAnsi="Arial" w:cs="Arial"/>
                <w:b/>
                <w:bCs/>
                <w:shd w:val="clear" w:color="auto" w:fill="E6E6E6"/>
              </w:rPr>
              <w:t>System</w:t>
            </w:r>
          </w:p>
        </w:tc>
        <w:tc>
          <w:tcPr>
            <w:tcW w:w="2835" w:type="dxa"/>
            <w:shd w:val="clear" w:color="auto" w:fill="D9D9D9" w:themeFill="background1" w:themeFillShade="D9"/>
          </w:tcPr>
          <w:p w14:paraId="30B5AFFF" w14:textId="4C4B68C5" w:rsidR="004E306C" w:rsidRPr="00833851" w:rsidRDefault="004E306C" w:rsidP="00EA7283">
            <w:pPr>
              <w:contextualSpacing/>
              <w:rPr>
                <w:rFonts w:ascii="Arial" w:hAnsi="Arial" w:cs="Arial"/>
                <w:b/>
                <w:bCs/>
              </w:rPr>
            </w:pPr>
            <w:r w:rsidRPr="00833851">
              <w:rPr>
                <w:rFonts w:ascii="Arial" w:hAnsi="Arial" w:cs="Arial"/>
                <w:b/>
                <w:bCs/>
                <w:shd w:val="clear" w:color="auto" w:fill="E6E6E6"/>
              </w:rPr>
              <w:t>Who communicates</w:t>
            </w:r>
            <w:r w:rsidR="00D20334" w:rsidRPr="00833851">
              <w:rPr>
                <w:rFonts w:ascii="Arial" w:hAnsi="Arial" w:cs="Arial"/>
                <w:b/>
                <w:bCs/>
                <w:shd w:val="clear" w:color="auto" w:fill="E6E6E6"/>
              </w:rPr>
              <w:t xml:space="preserve"> / publishes</w:t>
            </w:r>
            <w:r w:rsidRPr="00833851">
              <w:rPr>
                <w:rFonts w:ascii="Arial" w:hAnsi="Arial" w:cs="Arial"/>
                <w:b/>
                <w:bCs/>
                <w:shd w:val="clear" w:color="auto" w:fill="E6E6E6"/>
              </w:rPr>
              <w:t>*:</w:t>
            </w:r>
          </w:p>
          <w:p w14:paraId="468B76F9" w14:textId="7438533F" w:rsidR="004E306C" w:rsidRPr="00833851" w:rsidRDefault="004E306C" w:rsidP="00EA7283">
            <w:pPr>
              <w:contextualSpacing/>
              <w:rPr>
                <w:rFonts w:ascii="Arial" w:hAnsi="Arial" w:cs="Arial"/>
                <w:b/>
                <w:bCs/>
              </w:rPr>
            </w:pPr>
            <w:r w:rsidRPr="00833851">
              <w:rPr>
                <w:rFonts w:ascii="Arial" w:hAnsi="Arial" w:cs="Arial"/>
                <w:b/>
                <w:bCs/>
                <w:shd w:val="clear" w:color="auto" w:fill="E6E6E6"/>
              </w:rPr>
              <w:t>Newcastle &amp; Amsterdam</w:t>
            </w:r>
          </w:p>
        </w:tc>
      </w:tr>
      <w:tr w:rsidR="004E306C" w14:paraId="05C80B01" w14:textId="41D5BD82" w:rsidTr="3DD15E1C">
        <w:trPr>
          <w:jc w:val="center"/>
        </w:trPr>
        <w:tc>
          <w:tcPr>
            <w:tcW w:w="1879" w:type="dxa"/>
          </w:tcPr>
          <w:p w14:paraId="07997CD9" w14:textId="77777777"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Course title</w:t>
            </w:r>
          </w:p>
          <w:p w14:paraId="513F67E3" w14:textId="77777777" w:rsidR="004E306C" w:rsidRDefault="004E306C" w:rsidP="00970CF3">
            <w:pPr>
              <w:pStyle w:val="NormalWeb"/>
              <w:spacing w:before="0" w:beforeAutospacing="0" w:after="60" w:afterAutospacing="0"/>
              <w:ind w:left="30" w:right="30"/>
              <w:contextualSpacing/>
              <w:rPr>
                <w:rFonts w:ascii="Arial" w:hAnsi="Arial" w:cs="Arial"/>
              </w:rPr>
            </w:pPr>
          </w:p>
        </w:tc>
        <w:tc>
          <w:tcPr>
            <w:tcW w:w="1376" w:type="dxa"/>
          </w:tcPr>
          <w:p w14:paraId="596F0D21" w14:textId="77777777"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08814184" w14:textId="77777777" w:rsidR="004E306C" w:rsidRDefault="004E306C" w:rsidP="00EA7283">
            <w:pPr>
              <w:contextualSpacing/>
              <w:rPr>
                <w:rFonts w:ascii="Arial" w:hAnsi="Arial" w:cs="Arial"/>
              </w:rPr>
            </w:pPr>
          </w:p>
        </w:tc>
        <w:tc>
          <w:tcPr>
            <w:tcW w:w="1843" w:type="dxa"/>
          </w:tcPr>
          <w:p w14:paraId="78CFEAAE" w14:textId="77777777"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APG</w:t>
            </w:r>
          </w:p>
          <w:p w14:paraId="61BB1475" w14:textId="77777777" w:rsidR="004E306C" w:rsidRDefault="004E306C" w:rsidP="00EA7283">
            <w:pPr>
              <w:contextualSpacing/>
              <w:rPr>
                <w:rFonts w:ascii="Arial" w:hAnsi="Arial" w:cs="Arial"/>
              </w:rPr>
            </w:pPr>
          </w:p>
        </w:tc>
        <w:tc>
          <w:tcPr>
            <w:tcW w:w="2268" w:type="dxa"/>
          </w:tcPr>
          <w:p w14:paraId="56FF4863" w14:textId="77777777"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610CAC7C" w14:textId="77777777" w:rsidR="004E306C" w:rsidRDefault="004E306C" w:rsidP="00EA7283">
            <w:pPr>
              <w:contextualSpacing/>
              <w:rPr>
                <w:rFonts w:ascii="Arial" w:hAnsi="Arial" w:cs="Arial"/>
              </w:rPr>
            </w:pPr>
          </w:p>
        </w:tc>
        <w:tc>
          <w:tcPr>
            <w:tcW w:w="2835" w:type="dxa"/>
          </w:tcPr>
          <w:p w14:paraId="3E420509" w14:textId="2C721101" w:rsidR="004E306C" w:rsidRPr="00092998" w:rsidRDefault="004E306C" w:rsidP="00092998">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Students (</w:t>
            </w:r>
            <w:r w:rsidR="00D20334">
              <w:rPr>
                <w:rFonts w:ascii="Arial" w:hAnsi="Arial" w:cs="Arial"/>
                <w:color w:val="000000"/>
                <w:sz w:val="22"/>
                <w:szCs w:val="22"/>
              </w:rPr>
              <w:t xml:space="preserve">Dept communicates; </w:t>
            </w:r>
            <w:r>
              <w:rPr>
                <w:rFonts w:ascii="Arial" w:hAnsi="Arial" w:cs="Arial"/>
                <w:color w:val="000000"/>
                <w:sz w:val="22"/>
                <w:szCs w:val="22"/>
              </w:rPr>
              <w:t>AR</w:t>
            </w:r>
            <w:r w:rsidR="00D20334">
              <w:rPr>
                <w:rFonts w:ascii="Arial" w:hAnsi="Arial" w:cs="Arial"/>
                <w:color w:val="000000"/>
                <w:sz w:val="22"/>
                <w:szCs w:val="22"/>
              </w:rPr>
              <w:t xml:space="preserve"> publishes</w:t>
            </w:r>
            <w:r>
              <w:rPr>
                <w:rFonts w:ascii="Arial" w:hAnsi="Arial" w:cs="Arial"/>
                <w:color w:val="000000"/>
                <w:sz w:val="22"/>
                <w:szCs w:val="22"/>
              </w:rPr>
              <w:t>)</w:t>
            </w:r>
          </w:p>
        </w:tc>
      </w:tr>
      <w:tr w:rsidR="004E306C" w14:paraId="6DB33D30" w14:textId="5CD7522C" w:rsidTr="3DD15E1C">
        <w:trPr>
          <w:jc w:val="center"/>
        </w:trPr>
        <w:tc>
          <w:tcPr>
            <w:tcW w:w="1879" w:type="dxa"/>
          </w:tcPr>
          <w:p w14:paraId="4C8C7268" w14:textId="77777777"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Entry requirements</w:t>
            </w:r>
          </w:p>
          <w:p w14:paraId="665AEBF2" w14:textId="77777777" w:rsidR="004E306C" w:rsidRDefault="004E306C" w:rsidP="00770A0D">
            <w:pPr>
              <w:pStyle w:val="NormalWeb"/>
              <w:spacing w:before="0" w:beforeAutospacing="0" w:after="60" w:afterAutospacing="0"/>
              <w:ind w:left="30" w:right="30"/>
              <w:contextualSpacing/>
              <w:rPr>
                <w:rFonts w:ascii="Arial" w:hAnsi="Arial" w:cs="Arial"/>
              </w:rPr>
            </w:pPr>
          </w:p>
        </w:tc>
        <w:tc>
          <w:tcPr>
            <w:tcW w:w="1376" w:type="dxa"/>
          </w:tcPr>
          <w:p w14:paraId="690AF1A2" w14:textId="25B68EEA" w:rsidR="004E306C" w:rsidRDefault="00833851" w:rsidP="00970CF3">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GM&amp;B</w:t>
            </w:r>
          </w:p>
          <w:p w14:paraId="491A80CD" w14:textId="77777777" w:rsidR="004E306C" w:rsidRDefault="004E306C" w:rsidP="00EA7283">
            <w:pPr>
              <w:contextualSpacing/>
              <w:rPr>
                <w:rFonts w:ascii="Arial" w:hAnsi="Arial" w:cs="Arial"/>
              </w:rPr>
            </w:pPr>
          </w:p>
        </w:tc>
        <w:tc>
          <w:tcPr>
            <w:tcW w:w="1843" w:type="dxa"/>
          </w:tcPr>
          <w:p w14:paraId="5D7B7669" w14:textId="40D0251C" w:rsidR="004E306C" w:rsidRDefault="004E306C" w:rsidP="00970CF3">
            <w:pPr>
              <w:pStyle w:val="NormalWeb"/>
              <w:spacing w:before="0" w:beforeAutospacing="0" w:after="60" w:afterAutospacing="0"/>
              <w:ind w:left="30" w:right="30"/>
              <w:contextualSpacing/>
              <w:rPr>
                <w:rFonts w:ascii="Arial" w:hAnsi="Arial" w:cs="Arial"/>
                <w:color w:val="000000"/>
                <w:sz w:val="22"/>
                <w:szCs w:val="22"/>
              </w:rPr>
            </w:pPr>
            <w:r w:rsidRPr="00734399">
              <w:rPr>
                <w:rFonts w:ascii="Arial" w:hAnsi="Arial" w:cs="Arial"/>
                <w:color w:val="000000"/>
                <w:sz w:val="22"/>
                <w:szCs w:val="22"/>
              </w:rPr>
              <w:t xml:space="preserve">CMO </w:t>
            </w:r>
          </w:p>
          <w:p w14:paraId="18CC02CE" w14:textId="77777777" w:rsidR="004E306C" w:rsidRDefault="004E306C" w:rsidP="00EA7283">
            <w:pPr>
              <w:contextualSpacing/>
              <w:rPr>
                <w:rFonts w:ascii="Arial" w:hAnsi="Arial" w:cs="Arial"/>
              </w:rPr>
            </w:pPr>
          </w:p>
        </w:tc>
        <w:tc>
          <w:tcPr>
            <w:tcW w:w="2268" w:type="dxa"/>
          </w:tcPr>
          <w:p w14:paraId="65945381" w14:textId="1379A5E8" w:rsidR="004E306C" w:rsidRDefault="004E306C" w:rsidP="004E306C">
            <w:pPr>
              <w:pStyle w:val="NormalWeb"/>
              <w:spacing w:before="0" w:beforeAutospacing="0" w:after="60" w:afterAutospacing="0"/>
              <w:ind w:left="30" w:right="30"/>
              <w:contextualSpacing/>
              <w:rPr>
                <w:rFonts w:ascii="Arial" w:hAnsi="Arial" w:cs="Arial"/>
              </w:rPr>
            </w:pPr>
            <w:r>
              <w:rPr>
                <w:rFonts w:ascii="Arial" w:hAnsi="Arial" w:cs="Arial"/>
                <w:color w:val="000000"/>
                <w:sz w:val="22"/>
                <w:szCs w:val="22"/>
              </w:rPr>
              <w:t>Course Database (SQL) Externally on UCAS</w:t>
            </w:r>
          </w:p>
        </w:tc>
        <w:tc>
          <w:tcPr>
            <w:tcW w:w="2835" w:type="dxa"/>
          </w:tcPr>
          <w:p w14:paraId="5264A075" w14:textId="67FC55DF" w:rsidR="004E306C" w:rsidRDefault="004E306C" w:rsidP="004E306C">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w:t>
            </w:r>
          </w:p>
          <w:p w14:paraId="06545E53" w14:textId="796C79B9" w:rsidR="004E306C" w:rsidRPr="00092998" w:rsidRDefault="004E306C" w:rsidP="00092998">
            <w:pPr>
              <w:pStyle w:val="NormalWeb"/>
              <w:spacing w:before="0" w:beforeAutospacing="0" w:after="60" w:afterAutospacing="0"/>
              <w:ind w:left="30" w:right="30"/>
              <w:contextualSpacing/>
              <w:rPr>
                <w:rFonts w:ascii="Arial" w:hAnsi="Arial" w:cs="Arial"/>
                <w:color w:val="000000"/>
                <w:sz w:val="22"/>
                <w:szCs w:val="22"/>
              </w:rPr>
            </w:pPr>
          </w:p>
        </w:tc>
      </w:tr>
      <w:tr w:rsidR="004E306C" w14:paraId="4B586F54" w14:textId="216481F3" w:rsidTr="3DD15E1C">
        <w:trPr>
          <w:jc w:val="center"/>
        </w:trPr>
        <w:tc>
          <w:tcPr>
            <w:tcW w:w="1879" w:type="dxa"/>
          </w:tcPr>
          <w:p w14:paraId="62E95075"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Compulsory modules</w:t>
            </w:r>
          </w:p>
          <w:p w14:paraId="103F4CA2" w14:textId="77777777" w:rsidR="004E306C" w:rsidRDefault="004E306C" w:rsidP="00770A0D">
            <w:pPr>
              <w:pStyle w:val="NormalWeb"/>
              <w:spacing w:before="0" w:beforeAutospacing="0" w:after="60" w:afterAutospacing="0"/>
              <w:ind w:left="30" w:right="30"/>
              <w:contextualSpacing/>
              <w:rPr>
                <w:rFonts w:ascii="Arial" w:hAnsi="Arial" w:cs="Arial"/>
              </w:rPr>
            </w:pPr>
          </w:p>
        </w:tc>
        <w:tc>
          <w:tcPr>
            <w:tcW w:w="1376" w:type="dxa"/>
          </w:tcPr>
          <w:p w14:paraId="4F33FC4A"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676B8F6F" w14:textId="77777777" w:rsidR="004E306C" w:rsidRDefault="004E306C" w:rsidP="00EA7283">
            <w:pPr>
              <w:contextualSpacing/>
              <w:rPr>
                <w:rFonts w:ascii="Arial" w:hAnsi="Arial" w:cs="Arial"/>
              </w:rPr>
            </w:pPr>
          </w:p>
        </w:tc>
        <w:tc>
          <w:tcPr>
            <w:tcW w:w="1843" w:type="dxa"/>
          </w:tcPr>
          <w:p w14:paraId="2DF5D99C"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246A7216" w14:textId="77777777" w:rsidR="004E306C" w:rsidRDefault="004E306C" w:rsidP="00EA7283">
            <w:pPr>
              <w:contextualSpacing/>
              <w:rPr>
                <w:rFonts w:ascii="Arial" w:hAnsi="Arial" w:cs="Arial"/>
              </w:rPr>
            </w:pPr>
          </w:p>
        </w:tc>
        <w:tc>
          <w:tcPr>
            <w:tcW w:w="2268" w:type="dxa"/>
          </w:tcPr>
          <w:p w14:paraId="69C6CEC9"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22A78AE3" w14:textId="77777777" w:rsidR="004E306C" w:rsidRDefault="004E306C" w:rsidP="00EA7283">
            <w:pPr>
              <w:contextualSpacing/>
              <w:rPr>
                <w:rFonts w:ascii="Arial" w:hAnsi="Arial" w:cs="Arial"/>
              </w:rPr>
            </w:pPr>
          </w:p>
        </w:tc>
        <w:tc>
          <w:tcPr>
            <w:tcW w:w="2835" w:type="dxa"/>
          </w:tcPr>
          <w:p w14:paraId="1087F897" w14:textId="378BC47C" w:rsidR="004E306C" w:rsidRPr="00092998" w:rsidRDefault="004E306C" w:rsidP="00092998">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tc>
      </w:tr>
      <w:tr w:rsidR="004E306C" w14:paraId="1EE1B2E0" w14:textId="6433F4D6" w:rsidTr="3DD15E1C">
        <w:trPr>
          <w:jc w:val="center"/>
        </w:trPr>
        <w:tc>
          <w:tcPr>
            <w:tcW w:w="1879" w:type="dxa"/>
          </w:tcPr>
          <w:p w14:paraId="20060C9F" w14:textId="44F516FF"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O</w:t>
            </w:r>
            <w:r w:rsidRPr="00EA7283">
              <w:rPr>
                <w:rFonts w:ascii="Arial" w:hAnsi="Arial" w:cs="Arial"/>
                <w:color w:val="000000"/>
                <w:sz w:val="22"/>
                <w:szCs w:val="22"/>
              </w:rPr>
              <w:t>ptional modules</w:t>
            </w:r>
          </w:p>
          <w:p w14:paraId="1AB3C561" w14:textId="77777777" w:rsidR="004E306C" w:rsidRDefault="004E306C" w:rsidP="00092998">
            <w:pPr>
              <w:pStyle w:val="NormalWeb"/>
              <w:spacing w:before="0" w:beforeAutospacing="0" w:after="60" w:afterAutospacing="0"/>
              <w:ind w:right="30"/>
              <w:contextualSpacing/>
              <w:rPr>
                <w:rFonts w:ascii="Arial" w:hAnsi="Arial" w:cs="Arial"/>
              </w:rPr>
            </w:pPr>
          </w:p>
        </w:tc>
        <w:tc>
          <w:tcPr>
            <w:tcW w:w="1376" w:type="dxa"/>
          </w:tcPr>
          <w:p w14:paraId="00538311"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7DA7E83C" w14:textId="77777777" w:rsidR="004E306C" w:rsidRDefault="004E306C" w:rsidP="00EA7283">
            <w:pPr>
              <w:contextualSpacing/>
              <w:rPr>
                <w:rFonts w:ascii="Arial" w:hAnsi="Arial" w:cs="Arial"/>
              </w:rPr>
            </w:pPr>
          </w:p>
        </w:tc>
        <w:tc>
          <w:tcPr>
            <w:tcW w:w="1843" w:type="dxa"/>
          </w:tcPr>
          <w:p w14:paraId="53105931"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2D85495F" w14:textId="77777777" w:rsidR="004E306C" w:rsidRDefault="004E306C" w:rsidP="00EA7283">
            <w:pPr>
              <w:contextualSpacing/>
              <w:rPr>
                <w:rFonts w:ascii="Arial" w:hAnsi="Arial" w:cs="Arial"/>
              </w:rPr>
            </w:pPr>
          </w:p>
        </w:tc>
        <w:tc>
          <w:tcPr>
            <w:tcW w:w="2268" w:type="dxa"/>
          </w:tcPr>
          <w:p w14:paraId="4926A338" w14:textId="77777777" w:rsidR="004E306C" w:rsidRDefault="004E306C" w:rsidP="00770A0D">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6D5C99DA" w14:textId="77777777" w:rsidR="004E306C" w:rsidRDefault="004E306C" w:rsidP="00EA7283">
            <w:pPr>
              <w:contextualSpacing/>
              <w:rPr>
                <w:rFonts w:ascii="Arial" w:hAnsi="Arial" w:cs="Arial"/>
              </w:rPr>
            </w:pPr>
          </w:p>
        </w:tc>
        <w:tc>
          <w:tcPr>
            <w:tcW w:w="2835" w:type="dxa"/>
          </w:tcPr>
          <w:p w14:paraId="14871FF5" w14:textId="262589BF" w:rsidR="004E306C" w:rsidRPr="00092998" w:rsidRDefault="004E306C" w:rsidP="00092998">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tc>
      </w:tr>
      <w:tr w:rsidR="005919A6" w14:paraId="4F90D453" w14:textId="726EB326" w:rsidTr="3DD15E1C">
        <w:trPr>
          <w:jc w:val="center"/>
        </w:trPr>
        <w:tc>
          <w:tcPr>
            <w:tcW w:w="1879" w:type="dxa"/>
          </w:tcPr>
          <w:p w14:paraId="59B8CFB4"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Composition of the course and how it will be delivered</w:t>
            </w:r>
          </w:p>
          <w:p w14:paraId="5398100B" w14:textId="77777777" w:rsidR="005919A6" w:rsidRDefault="005919A6" w:rsidP="005919A6">
            <w:pPr>
              <w:pStyle w:val="NormalWeb"/>
              <w:spacing w:before="0" w:beforeAutospacing="0" w:after="60" w:afterAutospacing="0"/>
              <w:ind w:right="30"/>
              <w:contextualSpacing/>
              <w:rPr>
                <w:rFonts w:ascii="Arial" w:hAnsi="Arial" w:cs="Arial"/>
              </w:rPr>
            </w:pPr>
          </w:p>
        </w:tc>
        <w:tc>
          <w:tcPr>
            <w:tcW w:w="1376" w:type="dxa"/>
          </w:tcPr>
          <w:p w14:paraId="4DD71C93" w14:textId="7E4A3ACB"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B3114F">
              <w:rPr>
                <w:rFonts w:ascii="Arial" w:hAnsi="Arial" w:cs="Arial"/>
                <w:color w:val="000000"/>
                <w:sz w:val="22"/>
                <w:szCs w:val="22"/>
              </w:rPr>
              <w:t xml:space="preserve">Academic Registry  </w:t>
            </w:r>
          </w:p>
          <w:p w14:paraId="0BAC5994" w14:textId="77777777" w:rsidR="005919A6" w:rsidRDefault="005919A6" w:rsidP="005919A6">
            <w:pPr>
              <w:contextualSpacing/>
              <w:rPr>
                <w:rFonts w:ascii="Arial" w:hAnsi="Arial" w:cs="Arial"/>
              </w:rPr>
            </w:pPr>
          </w:p>
        </w:tc>
        <w:tc>
          <w:tcPr>
            <w:tcW w:w="1843" w:type="dxa"/>
          </w:tcPr>
          <w:p w14:paraId="42EE3469"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6DF54599" w14:textId="77777777" w:rsidR="005919A6" w:rsidRDefault="005919A6" w:rsidP="005919A6">
            <w:pPr>
              <w:contextualSpacing/>
              <w:rPr>
                <w:rFonts w:ascii="Arial" w:hAnsi="Arial" w:cs="Arial"/>
              </w:rPr>
            </w:pPr>
          </w:p>
        </w:tc>
        <w:tc>
          <w:tcPr>
            <w:tcW w:w="2268" w:type="dxa"/>
          </w:tcPr>
          <w:p w14:paraId="6596C751"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757BFFAE" w14:textId="77777777" w:rsidR="005919A6" w:rsidRDefault="005919A6" w:rsidP="005919A6">
            <w:pPr>
              <w:contextualSpacing/>
              <w:rPr>
                <w:rFonts w:ascii="Arial" w:hAnsi="Arial" w:cs="Arial"/>
              </w:rPr>
            </w:pPr>
          </w:p>
        </w:tc>
        <w:tc>
          <w:tcPr>
            <w:tcW w:w="2835" w:type="dxa"/>
          </w:tcPr>
          <w:p w14:paraId="310CB537" w14:textId="7D75B9E2" w:rsidR="005919A6" w:rsidRDefault="005919A6" w:rsidP="005919A6">
            <w:pPr>
              <w:contextualSpacing/>
              <w:rPr>
                <w:rFonts w:ascii="Arial" w:hAnsi="Arial" w:cs="Arial"/>
              </w:rPr>
            </w:pPr>
            <w:r>
              <w:rPr>
                <w:rFonts w:ascii="Arial" w:hAnsi="Arial" w:cs="Arial"/>
                <w:color w:val="000000"/>
              </w:rPr>
              <w:t>Applicants (</w:t>
            </w:r>
            <w:r w:rsidR="00833851">
              <w:rPr>
                <w:rFonts w:ascii="Arial" w:hAnsi="Arial" w:cs="Arial"/>
                <w:color w:val="000000"/>
              </w:rPr>
              <w:t>GM&amp;B</w:t>
            </w:r>
            <w:r>
              <w:rPr>
                <w:rFonts w:ascii="Arial" w:hAnsi="Arial" w:cs="Arial"/>
                <w:color w:val="000000"/>
              </w:rPr>
              <w:t xml:space="preserve">) Students </w:t>
            </w:r>
            <w:r w:rsidR="00D20334">
              <w:rPr>
                <w:rFonts w:ascii="Arial" w:hAnsi="Arial" w:cs="Arial"/>
                <w:color w:val="000000"/>
              </w:rPr>
              <w:t>(Dept communicates; AR publishes)</w:t>
            </w:r>
          </w:p>
        </w:tc>
      </w:tr>
      <w:tr w:rsidR="005919A6" w14:paraId="03D0C7ED" w14:textId="263F87B9" w:rsidTr="3DD15E1C">
        <w:trPr>
          <w:jc w:val="center"/>
        </w:trPr>
        <w:tc>
          <w:tcPr>
            <w:tcW w:w="1879" w:type="dxa"/>
          </w:tcPr>
          <w:p w14:paraId="1A837AA9" w14:textId="091E7199"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 xml:space="preserve">Contact hours </w:t>
            </w:r>
          </w:p>
          <w:p w14:paraId="41055400"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p>
          <w:p w14:paraId="022E49B9" w14:textId="77777777" w:rsidR="005919A6" w:rsidRDefault="005919A6" w:rsidP="005919A6">
            <w:pPr>
              <w:pStyle w:val="NormalWeb"/>
              <w:spacing w:before="0" w:beforeAutospacing="0" w:after="60" w:afterAutospacing="0"/>
              <w:ind w:left="30" w:right="30"/>
              <w:contextualSpacing/>
              <w:rPr>
                <w:rFonts w:ascii="Arial" w:hAnsi="Arial" w:cs="Arial"/>
              </w:rPr>
            </w:pPr>
          </w:p>
        </w:tc>
        <w:tc>
          <w:tcPr>
            <w:tcW w:w="1376" w:type="dxa"/>
          </w:tcPr>
          <w:p w14:paraId="381E9A9E"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44CF0251" w14:textId="77777777" w:rsidR="005919A6" w:rsidRDefault="005919A6" w:rsidP="005919A6">
            <w:pPr>
              <w:contextualSpacing/>
              <w:rPr>
                <w:rFonts w:ascii="Arial" w:hAnsi="Arial" w:cs="Arial"/>
              </w:rPr>
            </w:pPr>
          </w:p>
        </w:tc>
        <w:tc>
          <w:tcPr>
            <w:tcW w:w="1843" w:type="dxa"/>
          </w:tcPr>
          <w:p w14:paraId="744429D7"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5498BB8A" w14:textId="77777777" w:rsidR="005919A6" w:rsidRDefault="005919A6" w:rsidP="005919A6">
            <w:pPr>
              <w:contextualSpacing/>
              <w:rPr>
                <w:rFonts w:ascii="Arial" w:hAnsi="Arial" w:cs="Arial"/>
              </w:rPr>
            </w:pPr>
          </w:p>
        </w:tc>
        <w:tc>
          <w:tcPr>
            <w:tcW w:w="2268" w:type="dxa"/>
          </w:tcPr>
          <w:p w14:paraId="4524F823"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025F6D03" w14:textId="77777777" w:rsidR="005919A6" w:rsidRDefault="005919A6" w:rsidP="005919A6">
            <w:pPr>
              <w:contextualSpacing/>
              <w:rPr>
                <w:rFonts w:ascii="Arial" w:hAnsi="Arial" w:cs="Arial"/>
              </w:rPr>
            </w:pPr>
          </w:p>
        </w:tc>
        <w:tc>
          <w:tcPr>
            <w:tcW w:w="2835" w:type="dxa"/>
          </w:tcPr>
          <w:p w14:paraId="4F76494C" w14:textId="60FCB5C1"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p w14:paraId="21E5B155" w14:textId="77777777" w:rsidR="005919A6" w:rsidRDefault="005919A6" w:rsidP="005919A6">
            <w:pPr>
              <w:contextualSpacing/>
              <w:rPr>
                <w:rFonts w:ascii="Arial" w:hAnsi="Arial" w:cs="Arial"/>
              </w:rPr>
            </w:pPr>
          </w:p>
        </w:tc>
      </w:tr>
      <w:tr w:rsidR="005919A6" w14:paraId="29B2D864" w14:textId="282515AB" w:rsidTr="3DD15E1C">
        <w:trPr>
          <w:jc w:val="center"/>
        </w:trPr>
        <w:tc>
          <w:tcPr>
            <w:tcW w:w="1879" w:type="dxa"/>
          </w:tcPr>
          <w:p w14:paraId="0A05DB55" w14:textId="3D5B811F"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Expected workload (</w:t>
            </w:r>
            <w:r w:rsidR="0088180A" w:rsidRPr="00EA7283">
              <w:rPr>
                <w:rFonts w:ascii="Arial" w:hAnsi="Arial" w:cs="Arial"/>
                <w:color w:val="000000"/>
                <w:sz w:val="22"/>
                <w:szCs w:val="22"/>
              </w:rPr>
              <w:t>e.g.,</w:t>
            </w:r>
            <w:r w:rsidRPr="00EA7283">
              <w:rPr>
                <w:rFonts w:ascii="Arial" w:hAnsi="Arial" w:cs="Arial"/>
                <w:color w:val="000000"/>
                <w:sz w:val="22"/>
                <w:szCs w:val="22"/>
              </w:rPr>
              <w:t xml:space="preserve"> expected self-study time)</w:t>
            </w:r>
          </w:p>
          <w:p w14:paraId="7B92827F" w14:textId="77777777" w:rsidR="005919A6" w:rsidRDefault="005919A6" w:rsidP="005919A6">
            <w:pPr>
              <w:pStyle w:val="NormalWeb"/>
              <w:spacing w:before="0" w:beforeAutospacing="0" w:after="60" w:afterAutospacing="0"/>
              <w:ind w:left="30" w:right="30"/>
              <w:contextualSpacing/>
              <w:rPr>
                <w:rFonts w:ascii="Arial" w:hAnsi="Arial" w:cs="Arial"/>
              </w:rPr>
            </w:pPr>
          </w:p>
        </w:tc>
        <w:tc>
          <w:tcPr>
            <w:tcW w:w="1376" w:type="dxa"/>
          </w:tcPr>
          <w:p w14:paraId="3E79EAA4"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3EA53334" w14:textId="77777777" w:rsidR="005919A6" w:rsidRDefault="005919A6" w:rsidP="005919A6">
            <w:pPr>
              <w:contextualSpacing/>
              <w:rPr>
                <w:rFonts w:ascii="Arial" w:hAnsi="Arial" w:cs="Arial"/>
              </w:rPr>
            </w:pPr>
          </w:p>
        </w:tc>
        <w:tc>
          <w:tcPr>
            <w:tcW w:w="1843" w:type="dxa"/>
          </w:tcPr>
          <w:p w14:paraId="018A9A95"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62AA2F79" w14:textId="77777777" w:rsidR="005919A6" w:rsidRDefault="005919A6" w:rsidP="005919A6">
            <w:pPr>
              <w:contextualSpacing/>
              <w:rPr>
                <w:rFonts w:ascii="Arial" w:hAnsi="Arial" w:cs="Arial"/>
              </w:rPr>
            </w:pPr>
          </w:p>
        </w:tc>
        <w:tc>
          <w:tcPr>
            <w:tcW w:w="2268" w:type="dxa"/>
          </w:tcPr>
          <w:p w14:paraId="350F0982"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35EC3024" w14:textId="77777777" w:rsidR="005919A6" w:rsidRDefault="005919A6" w:rsidP="005919A6">
            <w:pPr>
              <w:contextualSpacing/>
              <w:rPr>
                <w:rFonts w:ascii="Arial" w:hAnsi="Arial" w:cs="Arial"/>
              </w:rPr>
            </w:pPr>
          </w:p>
        </w:tc>
        <w:tc>
          <w:tcPr>
            <w:tcW w:w="2835" w:type="dxa"/>
          </w:tcPr>
          <w:p w14:paraId="40FFA03B" w14:textId="73A94224" w:rsidR="005919A6" w:rsidRPr="009E5ACB"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tc>
      </w:tr>
      <w:tr w:rsidR="005919A6" w14:paraId="4E56EF44" w14:textId="76F0CD21" w:rsidTr="3DD15E1C">
        <w:trPr>
          <w:jc w:val="center"/>
        </w:trPr>
        <w:tc>
          <w:tcPr>
            <w:tcW w:w="1879" w:type="dxa"/>
          </w:tcPr>
          <w:p w14:paraId="16D17685" w14:textId="7119C21D" w:rsidR="005919A6" w:rsidRPr="009C6F11" w:rsidRDefault="005919A6" w:rsidP="005919A6">
            <w:pPr>
              <w:pStyle w:val="NormalWeb"/>
              <w:spacing w:before="0" w:beforeAutospacing="0" w:after="0" w:afterAutospacing="0"/>
              <w:ind w:left="30" w:right="30"/>
              <w:contextualSpacing/>
              <w:rPr>
                <w:rFonts w:ascii="Arial" w:hAnsi="Arial" w:cs="Arial"/>
                <w:color w:val="000000"/>
                <w:sz w:val="22"/>
                <w:szCs w:val="22"/>
              </w:rPr>
            </w:pPr>
            <w:r w:rsidRPr="009E5ACB">
              <w:rPr>
                <w:rStyle w:val="Strong"/>
                <w:rFonts w:ascii="Arial" w:hAnsi="Arial" w:cs="Arial"/>
                <w:b w:val="0"/>
                <w:bCs w:val="0"/>
                <w:color w:val="000000"/>
                <w:sz w:val="22"/>
                <w:szCs w:val="22"/>
              </w:rPr>
              <w:t>Overall</w:t>
            </w:r>
            <w:r w:rsidRPr="00EA7283">
              <w:rPr>
                <w:rFonts w:ascii="Arial" w:hAnsi="Arial" w:cs="Arial"/>
                <w:color w:val="000000"/>
                <w:sz w:val="22"/>
                <w:szCs w:val="22"/>
              </w:rPr>
              <w:t xml:space="preserve"> methods of assessment (for example, a combination of exams, </w:t>
            </w:r>
            <w:proofErr w:type="gramStart"/>
            <w:r w:rsidRPr="00EA7283">
              <w:rPr>
                <w:rFonts w:ascii="Arial" w:hAnsi="Arial" w:cs="Arial"/>
                <w:color w:val="000000"/>
                <w:sz w:val="22"/>
                <w:szCs w:val="22"/>
              </w:rPr>
              <w:t>coursework</w:t>
            </w:r>
            <w:proofErr w:type="gramEnd"/>
            <w:r w:rsidRPr="00EA7283">
              <w:rPr>
                <w:rFonts w:ascii="Arial" w:hAnsi="Arial" w:cs="Arial"/>
                <w:color w:val="000000"/>
                <w:sz w:val="22"/>
                <w:szCs w:val="22"/>
              </w:rPr>
              <w:t xml:space="preserve"> or practical assessments)</w:t>
            </w:r>
          </w:p>
        </w:tc>
        <w:tc>
          <w:tcPr>
            <w:tcW w:w="1376" w:type="dxa"/>
          </w:tcPr>
          <w:p w14:paraId="13C8DD29"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7CBC7AB2" w14:textId="77777777" w:rsidR="005919A6" w:rsidRDefault="005919A6" w:rsidP="005919A6">
            <w:pPr>
              <w:contextualSpacing/>
              <w:rPr>
                <w:rFonts w:ascii="Arial" w:hAnsi="Arial" w:cs="Arial"/>
              </w:rPr>
            </w:pPr>
          </w:p>
        </w:tc>
        <w:tc>
          <w:tcPr>
            <w:tcW w:w="1843" w:type="dxa"/>
          </w:tcPr>
          <w:p w14:paraId="5EDD3F34"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65BBE936" w14:textId="77777777" w:rsidR="005919A6" w:rsidRDefault="005919A6" w:rsidP="005919A6">
            <w:pPr>
              <w:contextualSpacing/>
              <w:rPr>
                <w:rFonts w:ascii="Arial" w:hAnsi="Arial" w:cs="Arial"/>
              </w:rPr>
            </w:pPr>
          </w:p>
        </w:tc>
        <w:tc>
          <w:tcPr>
            <w:tcW w:w="2268" w:type="dxa"/>
          </w:tcPr>
          <w:p w14:paraId="65E4F85C"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74EEA1D8" w14:textId="77777777" w:rsidR="005919A6" w:rsidRDefault="005919A6" w:rsidP="005919A6">
            <w:pPr>
              <w:contextualSpacing/>
              <w:rPr>
                <w:rFonts w:ascii="Arial" w:hAnsi="Arial" w:cs="Arial"/>
              </w:rPr>
            </w:pPr>
          </w:p>
        </w:tc>
        <w:tc>
          <w:tcPr>
            <w:tcW w:w="2835" w:type="dxa"/>
          </w:tcPr>
          <w:p w14:paraId="07849A7E" w14:textId="2D4F56E8"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p w14:paraId="01C3C486" w14:textId="77777777" w:rsidR="005919A6" w:rsidRDefault="005919A6" w:rsidP="005919A6">
            <w:pPr>
              <w:contextualSpacing/>
              <w:rPr>
                <w:rFonts w:ascii="Arial" w:hAnsi="Arial" w:cs="Arial"/>
              </w:rPr>
            </w:pPr>
          </w:p>
        </w:tc>
      </w:tr>
      <w:tr w:rsidR="005919A6" w14:paraId="1317244C" w14:textId="79742779" w:rsidTr="3DD15E1C">
        <w:trPr>
          <w:jc w:val="center"/>
        </w:trPr>
        <w:tc>
          <w:tcPr>
            <w:tcW w:w="1879" w:type="dxa"/>
          </w:tcPr>
          <w:p w14:paraId="20EB53DE" w14:textId="16C88C23" w:rsidR="005919A6" w:rsidRPr="009C6F11"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The award to be received on successful completion</w:t>
            </w:r>
          </w:p>
        </w:tc>
        <w:tc>
          <w:tcPr>
            <w:tcW w:w="1376" w:type="dxa"/>
          </w:tcPr>
          <w:p w14:paraId="3BA07584"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7EFD4230" w14:textId="77777777" w:rsidR="005919A6" w:rsidRDefault="005919A6" w:rsidP="005919A6">
            <w:pPr>
              <w:contextualSpacing/>
              <w:rPr>
                <w:rFonts w:ascii="Arial" w:hAnsi="Arial" w:cs="Arial"/>
              </w:rPr>
            </w:pPr>
          </w:p>
        </w:tc>
        <w:tc>
          <w:tcPr>
            <w:tcW w:w="1843" w:type="dxa"/>
          </w:tcPr>
          <w:p w14:paraId="63FA6E1E"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APG</w:t>
            </w:r>
          </w:p>
          <w:p w14:paraId="54E123C5" w14:textId="77777777" w:rsidR="005919A6" w:rsidRDefault="005919A6" w:rsidP="005919A6">
            <w:pPr>
              <w:contextualSpacing/>
              <w:rPr>
                <w:rFonts w:ascii="Arial" w:hAnsi="Arial" w:cs="Arial"/>
              </w:rPr>
            </w:pPr>
          </w:p>
        </w:tc>
        <w:tc>
          <w:tcPr>
            <w:tcW w:w="2268" w:type="dxa"/>
          </w:tcPr>
          <w:p w14:paraId="27D1B5B9"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5C2631FA" w14:textId="77777777" w:rsidR="005919A6" w:rsidRDefault="005919A6" w:rsidP="005919A6">
            <w:pPr>
              <w:contextualSpacing/>
              <w:rPr>
                <w:rFonts w:ascii="Arial" w:hAnsi="Arial" w:cs="Arial"/>
              </w:rPr>
            </w:pPr>
          </w:p>
        </w:tc>
        <w:tc>
          <w:tcPr>
            <w:tcW w:w="2835" w:type="dxa"/>
          </w:tcPr>
          <w:p w14:paraId="116E3511" w14:textId="58253646"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p w14:paraId="405835DD" w14:textId="77777777" w:rsidR="005919A6" w:rsidRDefault="005919A6" w:rsidP="005919A6">
            <w:pPr>
              <w:contextualSpacing/>
              <w:rPr>
                <w:rFonts w:ascii="Arial" w:hAnsi="Arial" w:cs="Arial"/>
              </w:rPr>
            </w:pPr>
          </w:p>
        </w:tc>
      </w:tr>
      <w:tr w:rsidR="005919A6" w14:paraId="5D60D1B4" w14:textId="34034E3C" w:rsidTr="3DD15E1C">
        <w:trPr>
          <w:jc w:val="center"/>
        </w:trPr>
        <w:tc>
          <w:tcPr>
            <w:tcW w:w="1879" w:type="dxa"/>
          </w:tcPr>
          <w:p w14:paraId="0EDB1EA7"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Length of programme</w:t>
            </w:r>
          </w:p>
          <w:p w14:paraId="7DB4A6A1" w14:textId="77777777" w:rsidR="005919A6" w:rsidRDefault="005919A6" w:rsidP="005919A6">
            <w:pPr>
              <w:contextualSpacing/>
              <w:rPr>
                <w:rFonts w:ascii="Arial" w:hAnsi="Arial" w:cs="Arial"/>
              </w:rPr>
            </w:pPr>
          </w:p>
        </w:tc>
        <w:tc>
          <w:tcPr>
            <w:tcW w:w="1376" w:type="dxa"/>
          </w:tcPr>
          <w:p w14:paraId="363F02D6"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16695837" w14:textId="77777777" w:rsidR="005919A6" w:rsidRDefault="005919A6" w:rsidP="005919A6">
            <w:pPr>
              <w:contextualSpacing/>
              <w:rPr>
                <w:rFonts w:ascii="Arial" w:hAnsi="Arial" w:cs="Arial"/>
              </w:rPr>
            </w:pPr>
          </w:p>
        </w:tc>
        <w:tc>
          <w:tcPr>
            <w:tcW w:w="1843" w:type="dxa"/>
          </w:tcPr>
          <w:p w14:paraId="3F2598D0"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Quality Ops Group</w:t>
            </w:r>
          </w:p>
          <w:p w14:paraId="6269F4D8" w14:textId="77777777" w:rsidR="005919A6" w:rsidRDefault="005919A6" w:rsidP="005919A6">
            <w:pPr>
              <w:contextualSpacing/>
              <w:rPr>
                <w:rFonts w:ascii="Arial" w:hAnsi="Arial" w:cs="Arial"/>
              </w:rPr>
            </w:pPr>
          </w:p>
        </w:tc>
        <w:tc>
          <w:tcPr>
            <w:tcW w:w="2268" w:type="dxa"/>
          </w:tcPr>
          <w:p w14:paraId="2FC48948"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15E2EB85" w14:textId="77777777" w:rsidR="005919A6" w:rsidRDefault="005919A6" w:rsidP="005919A6">
            <w:pPr>
              <w:contextualSpacing/>
              <w:rPr>
                <w:rFonts w:ascii="Arial" w:hAnsi="Arial" w:cs="Arial"/>
              </w:rPr>
            </w:pPr>
          </w:p>
        </w:tc>
        <w:tc>
          <w:tcPr>
            <w:tcW w:w="2835" w:type="dxa"/>
          </w:tcPr>
          <w:p w14:paraId="6FA59960" w14:textId="65375FB5"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p w14:paraId="3D721A1E" w14:textId="77777777" w:rsidR="005919A6" w:rsidRDefault="005919A6" w:rsidP="005919A6">
            <w:pPr>
              <w:contextualSpacing/>
              <w:rPr>
                <w:rFonts w:ascii="Arial" w:hAnsi="Arial" w:cs="Arial"/>
              </w:rPr>
            </w:pPr>
          </w:p>
        </w:tc>
      </w:tr>
      <w:tr w:rsidR="005919A6" w14:paraId="3001D0EA" w14:textId="2B693207" w:rsidTr="3DD15E1C">
        <w:trPr>
          <w:jc w:val="center"/>
        </w:trPr>
        <w:tc>
          <w:tcPr>
            <w:tcW w:w="1879" w:type="dxa"/>
          </w:tcPr>
          <w:p w14:paraId="15BB3312" w14:textId="72E04B09" w:rsidR="005919A6" w:rsidRPr="009E3C1E"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lastRenderedPageBreak/>
              <w:t>Whether the course is accredited and by whom</w:t>
            </w:r>
          </w:p>
        </w:tc>
        <w:tc>
          <w:tcPr>
            <w:tcW w:w="1376" w:type="dxa"/>
          </w:tcPr>
          <w:p w14:paraId="35B816C1"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Registry</w:t>
            </w:r>
          </w:p>
          <w:p w14:paraId="49A2F3E8" w14:textId="77777777" w:rsidR="005919A6" w:rsidRDefault="005919A6" w:rsidP="005919A6">
            <w:pPr>
              <w:contextualSpacing/>
              <w:rPr>
                <w:rFonts w:ascii="Arial" w:hAnsi="Arial" w:cs="Arial"/>
              </w:rPr>
            </w:pPr>
          </w:p>
        </w:tc>
        <w:tc>
          <w:tcPr>
            <w:tcW w:w="1843" w:type="dxa"/>
          </w:tcPr>
          <w:p w14:paraId="35B71558"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Education Committee</w:t>
            </w:r>
          </w:p>
          <w:p w14:paraId="0B73F83B" w14:textId="77777777" w:rsidR="005919A6" w:rsidRDefault="005919A6" w:rsidP="005919A6">
            <w:pPr>
              <w:contextualSpacing/>
              <w:rPr>
                <w:rFonts w:ascii="Arial" w:hAnsi="Arial" w:cs="Arial"/>
              </w:rPr>
            </w:pPr>
          </w:p>
        </w:tc>
        <w:tc>
          <w:tcPr>
            <w:tcW w:w="2268" w:type="dxa"/>
          </w:tcPr>
          <w:p w14:paraId="0254A896"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7B06A6F4" w14:textId="77777777" w:rsidR="005919A6" w:rsidRDefault="005919A6" w:rsidP="005919A6">
            <w:pPr>
              <w:contextualSpacing/>
              <w:rPr>
                <w:rFonts w:ascii="Arial" w:hAnsi="Arial" w:cs="Arial"/>
              </w:rPr>
            </w:pPr>
          </w:p>
        </w:tc>
        <w:tc>
          <w:tcPr>
            <w:tcW w:w="2835" w:type="dxa"/>
          </w:tcPr>
          <w:p w14:paraId="57E1A651" w14:textId="22ABBFD9"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Students </w:t>
            </w:r>
            <w:r w:rsidR="00D20334">
              <w:rPr>
                <w:rFonts w:ascii="Arial" w:hAnsi="Arial" w:cs="Arial"/>
                <w:color w:val="000000"/>
                <w:sz w:val="22"/>
                <w:szCs w:val="22"/>
              </w:rPr>
              <w:t>(Dept communicates; AR publishes)</w:t>
            </w:r>
          </w:p>
          <w:p w14:paraId="493FCF55" w14:textId="77777777" w:rsidR="005919A6" w:rsidRDefault="005919A6" w:rsidP="005919A6">
            <w:pPr>
              <w:contextualSpacing/>
              <w:rPr>
                <w:rFonts w:ascii="Arial" w:hAnsi="Arial" w:cs="Arial"/>
              </w:rPr>
            </w:pPr>
          </w:p>
        </w:tc>
      </w:tr>
      <w:tr w:rsidR="005919A6" w14:paraId="5A20A167" w14:textId="3C27655E" w:rsidTr="3DD15E1C">
        <w:trPr>
          <w:jc w:val="center"/>
        </w:trPr>
        <w:tc>
          <w:tcPr>
            <w:tcW w:w="1879" w:type="dxa"/>
          </w:tcPr>
          <w:p w14:paraId="1921EEBF" w14:textId="01939C5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Tuition fees</w:t>
            </w:r>
          </w:p>
          <w:p w14:paraId="45D0D41A"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p>
          <w:p w14:paraId="64454A0A" w14:textId="77777777" w:rsidR="005919A6" w:rsidRDefault="005919A6" w:rsidP="005919A6">
            <w:pPr>
              <w:pStyle w:val="NormalWeb"/>
              <w:spacing w:before="0" w:beforeAutospacing="0" w:after="60" w:afterAutospacing="0"/>
              <w:ind w:left="30" w:right="30"/>
              <w:contextualSpacing/>
              <w:rPr>
                <w:rFonts w:ascii="Arial" w:hAnsi="Arial" w:cs="Arial"/>
              </w:rPr>
            </w:pPr>
          </w:p>
        </w:tc>
        <w:tc>
          <w:tcPr>
            <w:tcW w:w="1376" w:type="dxa"/>
          </w:tcPr>
          <w:p w14:paraId="76A17F65" w14:textId="3B49A27A" w:rsidR="005919A6" w:rsidRDefault="00833851"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GM&amp;B</w:t>
            </w:r>
          </w:p>
          <w:p w14:paraId="51365A1E" w14:textId="77777777" w:rsidR="005919A6" w:rsidRDefault="005919A6" w:rsidP="005919A6">
            <w:pPr>
              <w:contextualSpacing/>
              <w:rPr>
                <w:rFonts w:ascii="Arial" w:hAnsi="Arial" w:cs="Arial"/>
              </w:rPr>
            </w:pPr>
          </w:p>
        </w:tc>
        <w:tc>
          <w:tcPr>
            <w:tcW w:w="1843" w:type="dxa"/>
          </w:tcPr>
          <w:p w14:paraId="2313417A"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Pricing Group</w:t>
            </w:r>
          </w:p>
          <w:p w14:paraId="2D2C0DBC" w14:textId="77777777" w:rsidR="005919A6" w:rsidRDefault="005919A6" w:rsidP="005919A6">
            <w:pPr>
              <w:contextualSpacing/>
              <w:rPr>
                <w:rFonts w:ascii="Arial" w:hAnsi="Arial" w:cs="Arial"/>
              </w:rPr>
            </w:pPr>
          </w:p>
        </w:tc>
        <w:tc>
          <w:tcPr>
            <w:tcW w:w="2268" w:type="dxa"/>
          </w:tcPr>
          <w:p w14:paraId="1620D6AE"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0E17C12A" w14:textId="77777777" w:rsidR="005919A6" w:rsidRDefault="005919A6" w:rsidP="005919A6">
            <w:pPr>
              <w:contextualSpacing/>
              <w:rPr>
                <w:rFonts w:ascii="Arial" w:hAnsi="Arial" w:cs="Arial"/>
              </w:rPr>
            </w:pPr>
          </w:p>
        </w:tc>
        <w:tc>
          <w:tcPr>
            <w:tcW w:w="2835" w:type="dxa"/>
          </w:tcPr>
          <w:p w14:paraId="36C44271" w14:textId="5C261F13"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w:t>
            </w:r>
          </w:p>
          <w:p w14:paraId="405A0FE5" w14:textId="77777777" w:rsidR="005919A6" w:rsidRDefault="005919A6" w:rsidP="005919A6">
            <w:pPr>
              <w:contextualSpacing/>
              <w:rPr>
                <w:rFonts w:ascii="Arial" w:hAnsi="Arial" w:cs="Arial"/>
              </w:rPr>
            </w:pPr>
          </w:p>
        </w:tc>
      </w:tr>
      <w:tr w:rsidR="005919A6" w14:paraId="59CFFC85" w14:textId="7BC44E2E" w:rsidTr="3DD15E1C">
        <w:trPr>
          <w:jc w:val="center"/>
        </w:trPr>
        <w:tc>
          <w:tcPr>
            <w:tcW w:w="1879" w:type="dxa"/>
          </w:tcPr>
          <w:p w14:paraId="1636BDFB" w14:textId="1ADE7042" w:rsidR="005919A6" w:rsidRPr="009E3C1E"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 xml:space="preserve">Other </w:t>
            </w:r>
            <w:r>
              <w:rPr>
                <w:rFonts w:ascii="Arial" w:hAnsi="Arial" w:cs="Arial"/>
                <w:color w:val="000000"/>
                <w:sz w:val="22"/>
                <w:szCs w:val="22"/>
              </w:rPr>
              <w:t>additional</w:t>
            </w:r>
            <w:r w:rsidRPr="00EA7283">
              <w:rPr>
                <w:rFonts w:ascii="Arial" w:hAnsi="Arial" w:cs="Arial"/>
                <w:color w:val="000000"/>
                <w:sz w:val="22"/>
                <w:szCs w:val="22"/>
              </w:rPr>
              <w:t xml:space="preserve"> costs which students are likely to incur</w:t>
            </w:r>
          </w:p>
        </w:tc>
        <w:tc>
          <w:tcPr>
            <w:tcW w:w="1376" w:type="dxa"/>
          </w:tcPr>
          <w:p w14:paraId="500682EF" w14:textId="649BA5E0" w:rsidR="005919A6" w:rsidRDefault="00833851"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GM&amp;B</w:t>
            </w:r>
          </w:p>
          <w:p w14:paraId="4D2301C0" w14:textId="77777777" w:rsidR="005919A6" w:rsidRDefault="005919A6" w:rsidP="005919A6">
            <w:pPr>
              <w:contextualSpacing/>
              <w:rPr>
                <w:rFonts w:ascii="Arial" w:hAnsi="Arial" w:cs="Arial"/>
              </w:rPr>
            </w:pPr>
          </w:p>
        </w:tc>
        <w:tc>
          <w:tcPr>
            <w:tcW w:w="1843" w:type="dxa"/>
          </w:tcPr>
          <w:p w14:paraId="4C422E70"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Pricing Group</w:t>
            </w:r>
          </w:p>
          <w:p w14:paraId="53070C19" w14:textId="77777777" w:rsidR="005919A6" w:rsidRDefault="005919A6" w:rsidP="005919A6">
            <w:pPr>
              <w:contextualSpacing/>
              <w:rPr>
                <w:rFonts w:ascii="Arial" w:hAnsi="Arial" w:cs="Arial"/>
              </w:rPr>
            </w:pPr>
          </w:p>
        </w:tc>
        <w:tc>
          <w:tcPr>
            <w:tcW w:w="2268" w:type="dxa"/>
          </w:tcPr>
          <w:p w14:paraId="717C9427"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506803C2" w14:textId="77777777" w:rsidR="005919A6" w:rsidRDefault="005919A6" w:rsidP="005919A6">
            <w:pPr>
              <w:contextualSpacing/>
              <w:rPr>
                <w:rFonts w:ascii="Arial" w:hAnsi="Arial" w:cs="Arial"/>
              </w:rPr>
            </w:pPr>
          </w:p>
        </w:tc>
        <w:tc>
          <w:tcPr>
            <w:tcW w:w="2835" w:type="dxa"/>
          </w:tcPr>
          <w:p w14:paraId="4394D4FC" w14:textId="61BC916F"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w:t>
            </w:r>
          </w:p>
          <w:p w14:paraId="4164F9CD" w14:textId="77777777" w:rsidR="005919A6" w:rsidRDefault="005919A6" w:rsidP="005919A6">
            <w:pPr>
              <w:contextualSpacing/>
              <w:rPr>
                <w:rFonts w:ascii="Arial" w:hAnsi="Arial" w:cs="Arial"/>
              </w:rPr>
            </w:pPr>
          </w:p>
        </w:tc>
      </w:tr>
      <w:tr w:rsidR="005919A6" w14:paraId="346C9A0A" w14:textId="66040F0C" w:rsidTr="3DD15E1C">
        <w:trPr>
          <w:jc w:val="center"/>
        </w:trPr>
        <w:tc>
          <w:tcPr>
            <w:tcW w:w="1879" w:type="dxa"/>
          </w:tcPr>
          <w:p w14:paraId="47F8A8F7" w14:textId="76EFCF88" w:rsidR="005919A6" w:rsidRPr="00A940E2"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When and how tuition fees are payable and when the student will become liable for payment</w:t>
            </w:r>
          </w:p>
        </w:tc>
        <w:tc>
          <w:tcPr>
            <w:tcW w:w="1376" w:type="dxa"/>
          </w:tcPr>
          <w:p w14:paraId="39C69312"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 xml:space="preserve">Finance </w:t>
            </w:r>
          </w:p>
          <w:p w14:paraId="2976F1C9" w14:textId="77777777" w:rsidR="005919A6" w:rsidRDefault="005919A6" w:rsidP="005919A6">
            <w:pPr>
              <w:contextualSpacing/>
              <w:rPr>
                <w:rFonts w:ascii="Arial" w:hAnsi="Arial" w:cs="Arial"/>
              </w:rPr>
            </w:pPr>
          </w:p>
        </w:tc>
        <w:tc>
          <w:tcPr>
            <w:tcW w:w="1843" w:type="dxa"/>
          </w:tcPr>
          <w:p w14:paraId="3547BE8C"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UE via Pricing Group</w:t>
            </w:r>
          </w:p>
          <w:p w14:paraId="53266EA1" w14:textId="77777777" w:rsidR="005919A6" w:rsidRDefault="005919A6" w:rsidP="005919A6">
            <w:pPr>
              <w:contextualSpacing/>
              <w:rPr>
                <w:rFonts w:ascii="Arial" w:hAnsi="Arial" w:cs="Arial"/>
              </w:rPr>
            </w:pPr>
          </w:p>
        </w:tc>
        <w:tc>
          <w:tcPr>
            <w:tcW w:w="2268" w:type="dxa"/>
          </w:tcPr>
          <w:p w14:paraId="060756B3"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046F02B0" w14:textId="77777777" w:rsidR="005919A6" w:rsidRDefault="005919A6" w:rsidP="005919A6">
            <w:pPr>
              <w:contextualSpacing/>
              <w:rPr>
                <w:rFonts w:ascii="Arial" w:hAnsi="Arial" w:cs="Arial"/>
              </w:rPr>
            </w:pPr>
          </w:p>
        </w:tc>
        <w:tc>
          <w:tcPr>
            <w:tcW w:w="2835" w:type="dxa"/>
          </w:tcPr>
          <w:p w14:paraId="2AD2F0C2" w14:textId="7B2EC0B1"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573930">
              <w:rPr>
                <w:rFonts w:ascii="Arial" w:hAnsi="Arial" w:cs="Arial"/>
                <w:color w:val="000000"/>
                <w:sz w:val="22"/>
                <w:szCs w:val="22"/>
              </w:rPr>
              <w:t xml:space="preserve">Applicants </w:t>
            </w:r>
            <w:r w:rsidR="00D20334" w:rsidRPr="00573930">
              <w:rPr>
                <w:rFonts w:ascii="Arial" w:hAnsi="Arial" w:cs="Arial"/>
                <w:color w:val="000000"/>
                <w:sz w:val="22"/>
                <w:szCs w:val="22"/>
              </w:rPr>
              <w:t xml:space="preserve">and Students </w:t>
            </w:r>
            <w:r w:rsidRPr="00573930">
              <w:rPr>
                <w:rFonts w:ascii="Arial" w:hAnsi="Arial" w:cs="Arial"/>
                <w:color w:val="000000"/>
                <w:sz w:val="22"/>
                <w:szCs w:val="22"/>
              </w:rPr>
              <w:t>(</w:t>
            </w:r>
            <w:r w:rsidR="00833851">
              <w:rPr>
                <w:rFonts w:ascii="Arial" w:hAnsi="Arial" w:cs="Arial"/>
                <w:color w:val="000000"/>
                <w:sz w:val="22"/>
                <w:szCs w:val="22"/>
              </w:rPr>
              <w:t>GM&amp;B</w:t>
            </w:r>
            <w:r w:rsidRPr="00573930">
              <w:rPr>
                <w:rFonts w:ascii="Arial" w:hAnsi="Arial" w:cs="Arial"/>
                <w:color w:val="000000"/>
                <w:sz w:val="22"/>
                <w:szCs w:val="22"/>
              </w:rPr>
              <w:t xml:space="preserve">) </w:t>
            </w:r>
          </w:p>
          <w:p w14:paraId="31C6D881" w14:textId="77777777" w:rsidR="005919A6" w:rsidRDefault="005919A6" w:rsidP="005919A6">
            <w:pPr>
              <w:contextualSpacing/>
              <w:rPr>
                <w:rFonts w:ascii="Arial" w:hAnsi="Arial" w:cs="Arial"/>
              </w:rPr>
            </w:pPr>
          </w:p>
        </w:tc>
      </w:tr>
      <w:tr w:rsidR="005919A6" w14:paraId="554102D8" w14:textId="61CF69BE" w:rsidTr="3DD15E1C">
        <w:trPr>
          <w:jc w:val="center"/>
        </w:trPr>
        <w:tc>
          <w:tcPr>
            <w:tcW w:w="1879" w:type="dxa"/>
          </w:tcPr>
          <w:p w14:paraId="25C31EB3"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sidRPr="00EA7283">
              <w:rPr>
                <w:rFonts w:ascii="Arial" w:hAnsi="Arial" w:cs="Arial"/>
                <w:color w:val="000000"/>
                <w:sz w:val="22"/>
                <w:szCs w:val="22"/>
              </w:rPr>
              <w:t xml:space="preserve">Availability of </w:t>
            </w:r>
            <w:r>
              <w:rPr>
                <w:rFonts w:ascii="Arial" w:hAnsi="Arial" w:cs="Arial"/>
                <w:color w:val="000000"/>
                <w:sz w:val="22"/>
                <w:szCs w:val="22"/>
              </w:rPr>
              <w:t>scholarships</w:t>
            </w:r>
          </w:p>
          <w:p w14:paraId="279A7011" w14:textId="77777777" w:rsidR="005919A6" w:rsidRDefault="005919A6" w:rsidP="005919A6">
            <w:pPr>
              <w:pStyle w:val="NormalWeb"/>
              <w:spacing w:before="0" w:beforeAutospacing="0" w:after="60" w:afterAutospacing="0"/>
              <w:ind w:left="30" w:right="30"/>
              <w:contextualSpacing/>
              <w:rPr>
                <w:rFonts w:ascii="Arial" w:hAnsi="Arial" w:cs="Arial"/>
              </w:rPr>
            </w:pPr>
          </w:p>
        </w:tc>
        <w:tc>
          <w:tcPr>
            <w:tcW w:w="1376" w:type="dxa"/>
          </w:tcPr>
          <w:p w14:paraId="0BE1A7A8" w14:textId="4E455DAE" w:rsidR="005919A6" w:rsidRDefault="00833851"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GM&amp;B</w:t>
            </w:r>
          </w:p>
          <w:p w14:paraId="6AC9F246" w14:textId="77777777" w:rsidR="005919A6" w:rsidRDefault="005919A6" w:rsidP="005919A6">
            <w:pPr>
              <w:contextualSpacing/>
              <w:rPr>
                <w:rFonts w:ascii="Arial" w:hAnsi="Arial" w:cs="Arial"/>
              </w:rPr>
            </w:pPr>
          </w:p>
        </w:tc>
        <w:tc>
          <w:tcPr>
            <w:tcW w:w="1843" w:type="dxa"/>
          </w:tcPr>
          <w:p w14:paraId="2145BCD3"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 xml:space="preserve">UE via Pricing Group </w:t>
            </w:r>
          </w:p>
          <w:p w14:paraId="606046D0" w14:textId="77777777" w:rsidR="005919A6" w:rsidRDefault="005919A6" w:rsidP="005919A6">
            <w:pPr>
              <w:contextualSpacing/>
              <w:rPr>
                <w:rFonts w:ascii="Arial" w:hAnsi="Arial" w:cs="Arial"/>
              </w:rPr>
            </w:pPr>
          </w:p>
        </w:tc>
        <w:tc>
          <w:tcPr>
            <w:tcW w:w="2268" w:type="dxa"/>
          </w:tcPr>
          <w:p w14:paraId="314C65D6"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SITS</w:t>
            </w:r>
          </w:p>
          <w:p w14:paraId="68897C3E" w14:textId="77777777" w:rsidR="005919A6" w:rsidRDefault="005919A6" w:rsidP="005919A6">
            <w:pPr>
              <w:contextualSpacing/>
              <w:rPr>
                <w:rFonts w:ascii="Arial" w:hAnsi="Arial" w:cs="Arial"/>
              </w:rPr>
            </w:pPr>
          </w:p>
        </w:tc>
        <w:tc>
          <w:tcPr>
            <w:tcW w:w="2835" w:type="dxa"/>
          </w:tcPr>
          <w:p w14:paraId="6920052B" w14:textId="4ED2E7A0"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Applicants (</w:t>
            </w:r>
            <w:r w:rsidR="00833851">
              <w:rPr>
                <w:rFonts w:ascii="Arial" w:hAnsi="Arial" w:cs="Arial"/>
                <w:color w:val="000000"/>
                <w:sz w:val="22"/>
                <w:szCs w:val="22"/>
              </w:rPr>
              <w:t>GM&amp;B</w:t>
            </w:r>
            <w:r>
              <w:rPr>
                <w:rFonts w:ascii="Arial" w:hAnsi="Arial" w:cs="Arial"/>
                <w:color w:val="000000"/>
                <w:sz w:val="22"/>
                <w:szCs w:val="22"/>
              </w:rPr>
              <w:t xml:space="preserve">) </w:t>
            </w:r>
          </w:p>
          <w:p w14:paraId="7D7038D3" w14:textId="77777777" w:rsidR="005919A6" w:rsidRDefault="005919A6" w:rsidP="005919A6">
            <w:pPr>
              <w:contextualSpacing/>
              <w:rPr>
                <w:rFonts w:ascii="Arial" w:hAnsi="Arial" w:cs="Arial"/>
              </w:rPr>
            </w:pPr>
          </w:p>
        </w:tc>
      </w:tr>
      <w:tr w:rsidR="005919A6" w14:paraId="249F56F4" w14:textId="71CB61AD" w:rsidTr="3DD15E1C">
        <w:trPr>
          <w:jc w:val="center"/>
        </w:trPr>
        <w:tc>
          <w:tcPr>
            <w:tcW w:w="1879" w:type="dxa"/>
          </w:tcPr>
          <w:p w14:paraId="4E73C650" w14:textId="00BCD78B" w:rsidR="005919A6" w:rsidRDefault="001D60F4" w:rsidP="4AA26D70">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themeColor="text1"/>
                <w:sz w:val="22"/>
                <w:szCs w:val="22"/>
              </w:rPr>
              <w:t xml:space="preserve">Handbook of Student Regulations </w:t>
            </w:r>
          </w:p>
          <w:p w14:paraId="43331906" w14:textId="77777777" w:rsidR="005919A6" w:rsidRDefault="005919A6" w:rsidP="4AA26D70">
            <w:pPr>
              <w:pStyle w:val="NormalWeb"/>
              <w:spacing w:before="0" w:beforeAutospacing="0" w:after="60" w:afterAutospacing="0"/>
              <w:ind w:left="30" w:right="30"/>
              <w:contextualSpacing/>
              <w:rPr>
                <w:rFonts w:ascii="Arial" w:hAnsi="Arial" w:cs="Arial"/>
              </w:rPr>
            </w:pPr>
          </w:p>
        </w:tc>
        <w:tc>
          <w:tcPr>
            <w:tcW w:w="1376" w:type="dxa"/>
          </w:tcPr>
          <w:p w14:paraId="6C8701F0" w14:textId="227F0ED2" w:rsidR="4BF80CD4" w:rsidRDefault="4BF80CD4" w:rsidP="4BF80CD4">
            <w:pPr>
              <w:pStyle w:val="NormalWeb"/>
              <w:spacing w:before="0" w:beforeAutospacing="0" w:after="60" w:afterAutospacing="0"/>
              <w:ind w:left="30" w:right="30"/>
              <w:contextualSpacing/>
              <w:rPr>
                <w:color w:val="000000" w:themeColor="text1"/>
              </w:rPr>
            </w:pPr>
            <w:r w:rsidRPr="4BF80CD4">
              <w:rPr>
                <w:rFonts w:ascii="Arial" w:hAnsi="Arial" w:cs="Arial"/>
                <w:color w:val="000000" w:themeColor="text1"/>
                <w:sz w:val="22"/>
                <w:szCs w:val="22"/>
              </w:rPr>
              <w:t>Legal Services</w:t>
            </w:r>
          </w:p>
          <w:p w14:paraId="1A53CFC7" w14:textId="77777777" w:rsidR="005919A6" w:rsidRDefault="005919A6" w:rsidP="005919A6">
            <w:pPr>
              <w:contextualSpacing/>
              <w:rPr>
                <w:rFonts w:ascii="Arial" w:hAnsi="Arial" w:cs="Arial"/>
              </w:rPr>
            </w:pPr>
          </w:p>
        </w:tc>
        <w:tc>
          <w:tcPr>
            <w:tcW w:w="1843" w:type="dxa"/>
          </w:tcPr>
          <w:p w14:paraId="3DF9532F" w14:textId="77777777" w:rsidR="005919A6" w:rsidRDefault="005919A6" w:rsidP="005919A6">
            <w:pPr>
              <w:pStyle w:val="NormalWeb"/>
              <w:spacing w:before="0" w:beforeAutospacing="0" w:after="60" w:afterAutospacing="0"/>
              <w:ind w:left="30" w:right="30"/>
              <w:contextualSpacing/>
              <w:rPr>
                <w:rFonts w:ascii="Arial" w:hAnsi="Arial" w:cs="Arial"/>
                <w:color w:val="000000"/>
                <w:sz w:val="22"/>
                <w:szCs w:val="22"/>
              </w:rPr>
            </w:pPr>
            <w:r>
              <w:rPr>
                <w:rFonts w:ascii="Arial" w:hAnsi="Arial" w:cs="Arial"/>
                <w:color w:val="000000"/>
                <w:sz w:val="22"/>
                <w:szCs w:val="22"/>
              </w:rPr>
              <w:t>Academic Board</w:t>
            </w:r>
          </w:p>
          <w:p w14:paraId="1C56BB8B" w14:textId="77777777" w:rsidR="005919A6" w:rsidRDefault="005919A6" w:rsidP="005919A6">
            <w:pPr>
              <w:contextualSpacing/>
              <w:rPr>
                <w:rFonts w:ascii="Arial" w:hAnsi="Arial" w:cs="Arial"/>
              </w:rPr>
            </w:pPr>
          </w:p>
        </w:tc>
        <w:tc>
          <w:tcPr>
            <w:tcW w:w="2268" w:type="dxa"/>
          </w:tcPr>
          <w:p w14:paraId="46658A74" w14:textId="6CBD7A99" w:rsidR="005919A6" w:rsidRDefault="38A93F1E" w:rsidP="3DD15E1C">
            <w:pPr>
              <w:spacing w:line="259" w:lineRule="auto"/>
              <w:contextualSpacing/>
              <w:rPr>
                <w:rFonts w:ascii="Arial" w:hAnsi="Arial" w:cs="Arial"/>
              </w:rPr>
            </w:pPr>
            <w:r w:rsidRPr="3DD15E1C">
              <w:rPr>
                <w:rFonts w:ascii="Arial" w:hAnsi="Arial" w:cs="Arial"/>
              </w:rPr>
              <w:t>Corporate Website</w:t>
            </w:r>
          </w:p>
        </w:tc>
        <w:tc>
          <w:tcPr>
            <w:tcW w:w="2835" w:type="dxa"/>
          </w:tcPr>
          <w:p w14:paraId="407D5E81" w14:textId="2F66C480" w:rsidR="005919A6" w:rsidRDefault="4BF80CD4" w:rsidP="4BF80CD4">
            <w:pPr>
              <w:spacing w:line="259" w:lineRule="auto"/>
              <w:contextualSpacing/>
              <w:rPr>
                <w:rFonts w:ascii="Arial" w:hAnsi="Arial" w:cs="Arial"/>
                <w:color w:val="000000" w:themeColor="text1"/>
              </w:rPr>
            </w:pPr>
            <w:r w:rsidRPr="4BF80CD4">
              <w:rPr>
                <w:rFonts w:ascii="Arial" w:hAnsi="Arial" w:cs="Arial"/>
                <w:color w:val="000000" w:themeColor="text1"/>
              </w:rPr>
              <w:t>Legal Services</w:t>
            </w:r>
          </w:p>
        </w:tc>
      </w:tr>
    </w:tbl>
    <w:p w14:paraId="2E32933E" w14:textId="19D595E9" w:rsidR="00EB073C" w:rsidRDefault="00EB073C" w:rsidP="00EA7283">
      <w:pPr>
        <w:spacing w:line="240" w:lineRule="auto"/>
        <w:contextualSpacing/>
        <w:rPr>
          <w:rFonts w:ascii="Arial" w:hAnsi="Arial" w:cs="Arial"/>
        </w:rPr>
      </w:pPr>
    </w:p>
    <w:p w14:paraId="31E4C185" w14:textId="52C18016" w:rsidR="004E306C" w:rsidRDefault="004E306C" w:rsidP="004E306C">
      <w:pPr>
        <w:pStyle w:val="ListParagraph"/>
        <w:numPr>
          <w:ilvl w:val="0"/>
          <w:numId w:val="4"/>
        </w:numPr>
        <w:spacing w:line="240" w:lineRule="auto"/>
        <w:rPr>
          <w:rFonts w:ascii="Arial" w:hAnsi="Arial" w:cs="Arial"/>
        </w:rPr>
      </w:pPr>
      <w:r>
        <w:rPr>
          <w:rFonts w:ascii="Arial" w:hAnsi="Arial" w:cs="Arial"/>
        </w:rPr>
        <w:t xml:space="preserve">The above table </w:t>
      </w:r>
      <w:r w:rsidR="00F82E12">
        <w:rPr>
          <w:rFonts w:ascii="Arial" w:hAnsi="Arial" w:cs="Arial"/>
        </w:rPr>
        <w:t>gives a detailed breakdown for each programme attribute</w:t>
      </w:r>
      <w:r w:rsidR="00E3163F">
        <w:rPr>
          <w:rFonts w:ascii="Arial" w:hAnsi="Arial" w:cs="Arial"/>
        </w:rPr>
        <w:t xml:space="preserve"> for</w:t>
      </w:r>
      <w:r>
        <w:rPr>
          <w:rFonts w:ascii="Arial" w:hAnsi="Arial" w:cs="Arial"/>
        </w:rPr>
        <w:t xml:space="preserve"> Newcastle and Amsterdam on campus programmes.    For </w:t>
      </w:r>
      <w:r w:rsidR="008E0CBF">
        <w:rPr>
          <w:rFonts w:ascii="Arial" w:hAnsi="Arial" w:cs="Arial"/>
        </w:rPr>
        <w:t xml:space="preserve">London Campus, </w:t>
      </w:r>
      <w:r>
        <w:rPr>
          <w:rFonts w:ascii="Arial" w:hAnsi="Arial" w:cs="Arial"/>
        </w:rPr>
        <w:t>TNE</w:t>
      </w:r>
      <w:r w:rsidR="008F51DF">
        <w:rPr>
          <w:rFonts w:ascii="Arial" w:hAnsi="Arial" w:cs="Arial"/>
        </w:rPr>
        <w:t>,</w:t>
      </w:r>
      <w:r w:rsidR="00901339">
        <w:rPr>
          <w:rFonts w:ascii="Arial" w:hAnsi="Arial" w:cs="Arial"/>
        </w:rPr>
        <w:t xml:space="preserve"> and</w:t>
      </w:r>
      <w:r w:rsidR="008E0CBF">
        <w:rPr>
          <w:rFonts w:ascii="Arial" w:hAnsi="Arial" w:cs="Arial"/>
        </w:rPr>
        <w:t xml:space="preserve"> Pearson DL</w:t>
      </w:r>
      <w:r w:rsidR="008F51DF">
        <w:rPr>
          <w:rFonts w:ascii="Arial" w:hAnsi="Arial" w:cs="Arial"/>
        </w:rPr>
        <w:t>,</w:t>
      </w:r>
      <w:r w:rsidR="008E0CBF">
        <w:rPr>
          <w:rFonts w:ascii="Arial" w:hAnsi="Arial" w:cs="Arial"/>
        </w:rPr>
        <w:t xml:space="preserve"> </w:t>
      </w:r>
      <w:r w:rsidR="003A5625">
        <w:rPr>
          <w:rFonts w:ascii="Arial" w:hAnsi="Arial" w:cs="Arial"/>
        </w:rPr>
        <w:t>some responsibilities differ</w:t>
      </w:r>
      <w:r w:rsidR="008F51DF">
        <w:rPr>
          <w:rFonts w:ascii="Arial" w:hAnsi="Arial" w:cs="Arial"/>
        </w:rPr>
        <w:t>.</w:t>
      </w:r>
      <w:r w:rsidR="00E3163F">
        <w:rPr>
          <w:rFonts w:ascii="Arial" w:hAnsi="Arial" w:cs="Arial"/>
        </w:rPr>
        <w:t xml:space="preserve"> </w:t>
      </w:r>
      <w:r w:rsidR="008F51DF">
        <w:rPr>
          <w:rFonts w:ascii="Arial" w:hAnsi="Arial" w:cs="Arial"/>
        </w:rPr>
        <w:t>W</w:t>
      </w:r>
      <w:r w:rsidR="00E3163F">
        <w:rPr>
          <w:rFonts w:ascii="Arial" w:hAnsi="Arial" w:cs="Arial"/>
        </w:rPr>
        <w:t xml:space="preserve">here the responsibility to communicate is listed as </w:t>
      </w:r>
      <w:r w:rsidR="00833851">
        <w:rPr>
          <w:rFonts w:ascii="Arial" w:hAnsi="Arial" w:cs="Arial"/>
        </w:rPr>
        <w:t>GM&amp;B</w:t>
      </w:r>
      <w:r w:rsidR="00E3163F">
        <w:rPr>
          <w:rFonts w:ascii="Arial" w:hAnsi="Arial" w:cs="Arial"/>
        </w:rPr>
        <w:t xml:space="preserve"> or AR</w:t>
      </w:r>
      <w:r w:rsidR="008F51DF">
        <w:rPr>
          <w:rFonts w:ascii="Arial" w:hAnsi="Arial" w:cs="Arial"/>
        </w:rPr>
        <w:t>,</w:t>
      </w:r>
      <w:r w:rsidR="00E3163F">
        <w:rPr>
          <w:rFonts w:ascii="Arial" w:hAnsi="Arial" w:cs="Arial"/>
        </w:rPr>
        <w:t xml:space="preserve"> these will change </w:t>
      </w:r>
      <w:r w:rsidR="006D318C">
        <w:rPr>
          <w:rFonts w:ascii="Arial" w:hAnsi="Arial" w:cs="Arial"/>
        </w:rPr>
        <w:t>as follows</w:t>
      </w:r>
      <w:r w:rsidR="003A5625">
        <w:rPr>
          <w:rFonts w:ascii="Arial" w:hAnsi="Arial" w:cs="Arial"/>
        </w:rPr>
        <w:t xml:space="preserve">.   </w:t>
      </w:r>
    </w:p>
    <w:tbl>
      <w:tblPr>
        <w:tblStyle w:val="TableGrid"/>
        <w:tblW w:w="0" w:type="auto"/>
        <w:jc w:val="center"/>
        <w:tblLook w:val="04A0" w:firstRow="1" w:lastRow="0" w:firstColumn="1" w:lastColumn="0" w:noHBand="0" w:noVBand="1"/>
      </w:tblPr>
      <w:tblGrid>
        <w:gridCol w:w="2543"/>
        <w:gridCol w:w="2143"/>
        <w:gridCol w:w="2129"/>
        <w:gridCol w:w="2201"/>
      </w:tblGrid>
      <w:tr w:rsidR="00A76FE7" w14:paraId="1733476F" w14:textId="77777777" w:rsidTr="00E21708">
        <w:trPr>
          <w:jc w:val="center"/>
        </w:trPr>
        <w:tc>
          <w:tcPr>
            <w:tcW w:w="2685" w:type="dxa"/>
            <w:shd w:val="clear" w:color="auto" w:fill="D9D9D9" w:themeFill="background1" w:themeFillShade="D9"/>
          </w:tcPr>
          <w:p w14:paraId="39CFE013" w14:textId="77777777" w:rsidR="00A76FE7" w:rsidRPr="00E21708" w:rsidRDefault="00A76FE7" w:rsidP="00D26C76">
            <w:pPr>
              <w:pStyle w:val="ListParagraph"/>
              <w:ind w:left="0"/>
              <w:rPr>
                <w:rFonts w:ascii="Arial" w:hAnsi="Arial" w:cs="Arial"/>
                <w:b/>
                <w:bCs/>
              </w:rPr>
            </w:pPr>
          </w:p>
        </w:tc>
        <w:tc>
          <w:tcPr>
            <w:tcW w:w="2254" w:type="dxa"/>
            <w:shd w:val="clear" w:color="auto" w:fill="D9D9D9" w:themeFill="background1" w:themeFillShade="D9"/>
          </w:tcPr>
          <w:p w14:paraId="76D41224" w14:textId="17F7A167" w:rsidR="00A76FE7" w:rsidRPr="00E21708" w:rsidRDefault="00A76FE7" w:rsidP="00D26C76">
            <w:pPr>
              <w:pStyle w:val="ListParagraph"/>
              <w:ind w:left="0"/>
              <w:rPr>
                <w:rFonts w:ascii="Arial" w:hAnsi="Arial" w:cs="Arial"/>
                <w:b/>
                <w:bCs/>
              </w:rPr>
            </w:pPr>
            <w:r w:rsidRPr="00E21708">
              <w:rPr>
                <w:rFonts w:ascii="Arial" w:hAnsi="Arial" w:cs="Arial"/>
                <w:b/>
                <w:bCs/>
                <w:shd w:val="clear" w:color="auto" w:fill="E6E6E6"/>
              </w:rPr>
              <w:t>London Campus</w:t>
            </w:r>
          </w:p>
        </w:tc>
        <w:tc>
          <w:tcPr>
            <w:tcW w:w="2254" w:type="dxa"/>
            <w:shd w:val="clear" w:color="auto" w:fill="D9D9D9" w:themeFill="background1" w:themeFillShade="D9"/>
          </w:tcPr>
          <w:p w14:paraId="40C8D5BB" w14:textId="6636492C" w:rsidR="00A76FE7" w:rsidRPr="00E21708" w:rsidRDefault="00A76FE7" w:rsidP="00D26C76">
            <w:pPr>
              <w:pStyle w:val="ListParagraph"/>
              <w:ind w:left="0"/>
              <w:rPr>
                <w:rFonts w:ascii="Arial" w:hAnsi="Arial" w:cs="Arial"/>
                <w:b/>
                <w:bCs/>
              </w:rPr>
            </w:pPr>
            <w:r w:rsidRPr="00E21708">
              <w:rPr>
                <w:rFonts w:ascii="Arial" w:hAnsi="Arial" w:cs="Arial"/>
                <w:b/>
                <w:bCs/>
                <w:shd w:val="clear" w:color="auto" w:fill="E6E6E6"/>
              </w:rPr>
              <w:t>TNE</w:t>
            </w:r>
          </w:p>
        </w:tc>
        <w:tc>
          <w:tcPr>
            <w:tcW w:w="2254" w:type="dxa"/>
            <w:shd w:val="clear" w:color="auto" w:fill="D9D9D9" w:themeFill="background1" w:themeFillShade="D9"/>
          </w:tcPr>
          <w:p w14:paraId="73BC3B13" w14:textId="09DD68FA" w:rsidR="00A76FE7" w:rsidRPr="00E21708" w:rsidRDefault="00A76FE7" w:rsidP="00D26C76">
            <w:pPr>
              <w:pStyle w:val="ListParagraph"/>
              <w:ind w:left="0"/>
              <w:rPr>
                <w:rFonts w:ascii="Arial" w:hAnsi="Arial" w:cs="Arial"/>
                <w:b/>
                <w:bCs/>
              </w:rPr>
            </w:pPr>
            <w:r w:rsidRPr="00E21708">
              <w:rPr>
                <w:rFonts w:ascii="Arial" w:hAnsi="Arial" w:cs="Arial"/>
                <w:b/>
                <w:bCs/>
                <w:shd w:val="clear" w:color="auto" w:fill="E6E6E6"/>
              </w:rPr>
              <w:t>Pearson DL</w:t>
            </w:r>
          </w:p>
        </w:tc>
      </w:tr>
      <w:tr w:rsidR="00A76FE7" w14:paraId="5FCCDE94" w14:textId="77777777" w:rsidTr="00E21708">
        <w:trPr>
          <w:jc w:val="center"/>
        </w:trPr>
        <w:tc>
          <w:tcPr>
            <w:tcW w:w="2685" w:type="dxa"/>
          </w:tcPr>
          <w:p w14:paraId="254826CC" w14:textId="798CF28D" w:rsidR="00A76FE7" w:rsidRDefault="00A76FE7" w:rsidP="00D26C76">
            <w:pPr>
              <w:pStyle w:val="ListParagraph"/>
              <w:ind w:left="0"/>
              <w:rPr>
                <w:rFonts w:ascii="Arial" w:hAnsi="Arial" w:cs="Arial"/>
              </w:rPr>
            </w:pPr>
            <w:r>
              <w:rPr>
                <w:rFonts w:ascii="Arial" w:hAnsi="Arial" w:cs="Arial"/>
              </w:rPr>
              <w:t>Marketing Comms</w:t>
            </w:r>
            <w:r w:rsidR="00F82E12">
              <w:rPr>
                <w:rFonts w:ascii="Arial" w:hAnsi="Arial" w:cs="Arial"/>
              </w:rPr>
              <w:t xml:space="preserve"> (</w:t>
            </w:r>
            <w:r w:rsidR="00833851">
              <w:rPr>
                <w:rFonts w:ascii="Arial" w:hAnsi="Arial" w:cs="Arial"/>
              </w:rPr>
              <w:t>GM&amp;B</w:t>
            </w:r>
            <w:r w:rsidR="00F82E12">
              <w:rPr>
                <w:rFonts w:ascii="Arial" w:hAnsi="Arial" w:cs="Arial"/>
              </w:rPr>
              <w:t xml:space="preserve"> above)</w:t>
            </w:r>
          </w:p>
        </w:tc>
        <w:tc>
          <w:tcPr>
            <w:tcW w:w="2254" w:type="dxa"/>
          </w:tcPr>
          <w:p w14:paraId="5C051FCC" w14:textId="61D2122F" w:rsidR="00A76FE7" w:rsidRDefault="006D318C" w:rsidP="00D26C76">
            <w:pPr>
              <w:pStyle w:val="ListParagraph"/>
              <w:ind w:left="0"/>
              <w:rPr>
                <w:rFonts w:ascii="Arial" w:hAnsi="Arial" w:cs="Arial"/>
              </w:rPr>
            </w:pPr>
            <w:r>
              <w:rPr>
                <w:rFonts w:ascii="Arial" w:hAnsi="Arial" w:cs="Arial"/>
              </w:rPr>
              <w:t>QA</w:t>
            </w:r>
          </w:p>
        </w:tc>
        <w:tc>
          <w:tcPr>
            <w:tcW w:w="2254" w:type="dxa"/>
          </w:tcPr>
          <w:p w14:paraId="4BA1BE15" w14:textId="5A690F17" w:rsidR="00A76FE7" w:rsidRDefault="006D318C" w:rsidP="00D26C76">
            <w:pPr>
              <w:pStyle w:val="ListParagraph"/>
              <w:ind w:left="0"/>
              <w:rPr>
                <w:rFonts w:ascii="Arial" w:hAnsi="Arial" w:cs="Arial"/>
              </w:rPr>
            </w:pPr>
            <w:r>
              <w:rPr>
                <w:rFonts w:ascii="Arial" w:hAnsi="Arial" w:cs="Arial"/>
              </w:rPr>
              <w:t>Partner</w:t>
            </w:r>
          </w:p>
        </w:tc>
        <w:tc>
          <w:tcPr>
            <w:tcW w:w="2254" w:type="dxa"/>
          </w:tcPr>
          <w:p w14:paraId="170617D4" w14:textId="3D015497" w:rsidR="00A76FE7" w:rsidRDefault="008836A6" w:rsidP="00D26C76">
            <w:pPr>
              <w:pStyle w:val="ListParagraph"/>
              <w:ind w:left="0"/>
              <w:rPr>
                <w:rFonts w:ascii="Arial" w:hAnsi="Arial" w:cs="Arial"/>
              </w:rPr>
            </w:pPr>
            <w:r>
              <w:rPr>
                <w:rFonts w:ascii="Arial" w:hAnsi="Arial" w:cs="Arial"/>
              </w:rPr>
              <w:t>Pearson</w:t>
            </w:r>
          </w:p>
        </w:tc>
      </w:tr>
      <w:tr w:rsidR="00A76FE7" w14:paraId="120EF6CF" w14:textId="77777777" w:rsidTr="00E21708">
        <w:trPr>
          <w:jc w:val="center"/>
        </w:trPr>
        <w:tc>
          <w:tcPr>
            <w:tcW w:w="2685" w:type="dxa"/>
          </w:tcPr>
          <w:p w14:paraId="5183C74E" w14:textId="13A34796" w:rsidR="00A76FE7" w:rsidRDefault="00A76FE7" w:rsidP="00D26C76">
            <w:pPr>
              <w:pStyle w:val="ListParagraph"/>
              <w:ind w:left="0"/>
              <w:rPr>
                <w:rFonts w:ascii="Arial" w:hAnsi="Arial" w:cs="Arial"/>
              </w:rPr>
            </w:pPr>
            <w:r>
              <w:rPr>
                <w:rFonts w:ascii="Arial" w:hAnsi="Arial" w:cs="Arial"/>
              </w:rPr>
              <w:t>Offer Letter</w:t>
            </w:r>
            <w:r w:rsidR="00F82E12">
              <w:rPr>
                <w:rFonts w:ascii="Arial" w:hAnsi="Arial" w:cs="Arial"/>
              </w:rPr>
              <w:t xml:space="preserve"> (</w:t>
            </w:r>
            <w:r w:rsidR="00833851">
              <w:rPr>
                <w:rFonts w:ascii="Arial" w:hAnsi="Arial" w:cs="Arial"/>
              </w:rPr>
              <w:t>GM&amp;B</w:t>
            </w:r>
            <w:r w:rsidR="00F82E12">
              <w:rPr>
                <w:rFonts w:ascii="Arial" w:hAnsi="Arial" w:cs="Arial"/>
              </w:rPr>
              <w:t xml:space="preserve"> above)</w:t>
            </w:r>
          </w:p>
        </w:tc>
        <w:tc>
          <w:tcPr>
            <w:tcW w:w="2254" w:type="dxa"/>
          </w:tcPr>
          <w:p w14:paraId="4781D89F" w14:textId="21199EB0" w:rsidR="00A76FE7" w:rsidRDefault="00833851" w:rsidP="00D26C76">
            <w:pPr>
              <w:pStyle w:val="ListParagraph"/>
              <w:ind w:left="0"/>
              <w:rPr>
                <w:rFonts w:ascii="Arial" w:hAnsi="Arial" w:cs="Arial"/>
              </w:rPr>
            </w:pPr>
            <w:r>
              <w:rPr>
                <w:rFonts w:ascii="Arial" w:hAnsi="Arial" w:cs="Arial"/>
              </w:rPr>
              <w:t>GM&amp;B</w:t>
            </w:r>
          </w:p>
        </w:tc>
        <w:tc>
          <w:tcPr>
            <w:tcW w:w="2254" w:type="dxa"/>
          </w:tcPr>
          <w:p w14:paraId="5B602B12" w14:textId="3A85C7FF" w:rsidR="00A76FE7" w:rsidRDefault="006D318C" w:rsidP="00D26C76">
            <w:pPr>
              <w:pStyle w:val="ListParagraph"/>
              <w:ind w:left="0"/>
              <w:rPr>
                <w:rFonts w:ascii="Arial" w:hAnsi="Arial" w:cs="Arial"/>
              </w:rPr>
            </w:pPr>
            <w:r>
              <w:rPr>
                <w:rFonts w:ascii="Arial" w:hAnsi="Arial" w:cs="Arial"/>
              </w:rPr>
              <w:t>Partner</w:t>
            </w:r>
          </w:p>
        </w:tc>
        <w:tc>
          <w:tcPr>
            <w:tcW w:w="2254" w:type="dxa"/>
          </w:tcPr>
          <w:p w14:paraId="13612D2E" w14:textId="10A6C95E" w:rsidR="00A76FE7" w:rsidRDefault="00833851" w:rsidP="00D26C76">
            <w:pPr>
              <w:pStyle w:val="ListParagraph"/>
              <w:ind w:left="0"/>
              <w:rPr>
                <w:rFonts w:ascii="Arial" w:hAnsi="Arial" w:cs="Arial"/>
              </w:rPr>
            </w:pPr>
            <w:r>
              <w:rPr>
                <w:rFonts w:ascii="Arial" w:hAnsi="Arial" w:cs="Arial"/>
              </w:rPr>
              <w:t>GM&amp;B</w:t>
            </w:r>
          </w:p>
        </w:tc>
      </w:tr>
      <w:tr w:rsidR="00A76FE7" w14:paraId="62E6186C" w14:textId="77777777" w:rsidTr="00E21708">
        <w:trPr>
          <w:jc w:val="center"/>
        </w:trPr>
        <w:tc>
          <w:tcPr>
            <w:tcW w:w="2685" w:type="dxa"/>
          </w:tcPr>
          <w:p w14:paraId="631F2668" w14:textId="24DEF7EE" w:rsidR="00A76FE7" w:rsidRDefault="003A5625" w:rsidP="00D26C76">
            <w:pPr>
              <w:pStyle w:val="ListParagraph"/>
              <w:ind w:left="0"/>
              <w:rPr>
                <w:rFonts w:ascii="Arial" w:hAnsi="Arial" w:cs="Arial"/>
              </w:rPr>
            </w:pPr>
            <w:r>
              <w:rPr>
                <w:rFonts w:ascii="Arial" w:hAnsi="Arial" w:cs="Arial"/>
              </w:rPr>
              <w:t>Current students</w:t>
            </w:r>
            <w:r w:rsidR="00F82E12">
              <w:rPr>
                <w:rFonts w:ascii="Arial" w:hAnsi="Arial" w:cs="Arial"/>
              </w:rPr>
              <w:t xml:space="preserve"> (AR above)</w:t>
            </w:r>
          </w:p>
        </w:tc>
        <w:tc>
          <w:tcPr>
            <w:tcW w:w="2254" w:type="dxa"/>
          </w:tcPr>
          <w:p w14:paraId="3D11615D" w14:textId="6FACA636" w:rsidR="00A76FE7" w:rsidRPr="00AA5C7D" w:rsidRDefault="006D318C" w:rsidP="00D26C76">
            <w:pPr>
              <w:pStyle w:val="ListParagraph"/>
              <w:ind w:left="0"/>
              <w:rPr>
                <w:rFonts w:ascii="Arial" w:hAnsi="Arial" w:cs="Arial"/>
              </w:rPr>
            </w:pPr>
            <w:r w:rsidRPr="00AA5C7D">
              <w:rPr>
                <w:rFonts w:ascii="Arial" w:hAnsi="Arial" w:cs="Arial"/>
              </w:rPr>
              <w:t>QA</w:t>
            </w:r>
          </w:p>
        </w:tc>
        <w:tc>
          <w:tcPr>
            <w:tcW w:w="2254" w:type="dxa"/>
          </w:tcPr>
          <w:p w14:paraId="5ED0F0BE" w14:textId="13F923BA" w:rsidR="00A76FE7" w:rsidRPr="00AA5C7D" w:rsidRDefault="006D318C" w:rsidP="00D26C76">
            <w:pPr>
              <w:pStyle w:val="ListParagraph"/>
              <w:ind w:left="0"/>
              <w:rPr>
                <w:rFonts w:ascii="Arial" w:hAnsi="Arial" w:cs="Arial"/>
              </w:rPr>
            </w:pPr>
            <w:r w:rsidRPr="00AA5C7D">
              <w:rPr>
                <w:rFonts w:ascii="Arial" w:hAnsi="Arial" w:cs="Arial"/>
              </w:rPr>
              <w:t>Partner</w:t>
            </w:r>
          </w:p>
        </w:tc>
        <w:tc>
          <w:tcPr>
            <w:tcW w:w="2254" w:type="dxa"/>
          </w:tcPr>
          <w:p w14:paraId="10B09F90" w14:textId="631802A8" w:rsidR="00A76FE7" w:rsidRPr="008836A6" w:rsidRDefault="00D20334" w:rsidP="00D26C76">
            <w:pPr>
              <w:pStyle w:val="ListParagraph"/>
              <w:ind w:left="0"/>
              <w:rPr>
                <w:rFonts w:ascii="Arial" w:hAnsi="Arial" w:cs="Arial"/>
                <w:highlight w:val="yellow"/>
              </w:rPr>
            </w:pPr>
            <w:r>
              <w:rPr>
                <w:rFonts w:ascii="Arial" w:hAnsi="Arial" w:cs="Arial"/>
                <w:color w:val="000000"/>
              </w:rPr>
              <w:t>Dept communicates; AR publishes</w:t>
            </w:r>
          </w:p>
        </w:tc>
      </w:tr>
    </w:tbl>
    <w:p w14:paraId="6A81BE23" w14:textId="09EB0DB8" w:rsidR="00901339" w:rsidRDefault="00901339" w:rsidP="00D26C76">
      <w:pPr>
        <w:pStyle w:val="ListParagraph"/>
        <w:spacing w:line="240" w:lineRule="auto"/>
        <w:ind w:left="-720"/>
        <w:rPr>
          <w:rFonts w:ascii="Arial" w:hAnsi="Arial" w:cs="Arial"/>
        </w:rPr>
      </w:pPr>
    </w:p>
    <w:p w14:paraId="1979EF83" w14:textId="73286A12" w:rsidR="00901E86" w:rsidRPr="004E306C" w:rsidRDefault="76CE09AC" w:rsidP="00E21708">
      <w:pPr>
        <w:ind w:left="-567"/>
        <w:jc w:val="both"/>
        <w:rPr>
          <w:rFonts w:ascii="Arial" w:hAnsi="Arial" w:cs="Arial"/>
        </w:rPr>
      </w:pPr>
      <w:r w:rsidRPr="798233EE">
        <w:rPr>
          <w:rFonts w:ascii="Arial" w:hAnsi="Arial" w:cs="Arial"/>
        </w:rPr>
        <w:t>Where unique partnership arrangements apply (such as</w:t>
      </w:r>
      <w:r w:rsidR="2C63B126" w:rsidRPr="798233EE">
        <w:rPr>
          <w:rFonts w:ascii="Arial" w:hAnsi="Arial" w:cs="Arial"/>
        </w:rPr>
        <w:t xml:space="preserve"> a</w:t>
      </w:r>
      <w:r w:rsidRPr="798233EE">
        <w:rPr>
          <w:rFonts w:ascii="Arial" w:hAnsi="Arial" w:cs="Arial"/>
        </w:rPr>
        <w:t xml:space="preserve"> joint programme), clarification should be sought with the Registrar (Educational Partnerships).   </w:t>
      </w:r>
    </w:p>
    <w:sectPr w:rsidR="00901E86" w:rsidRPr="004E306C" w:rsidSect="00617F7C">
      <w:headerReference w:type="default" r:id="rId16"/>
      <w:footerReference w:type="default" r:id="rId17"/>
      <w:headerReference w:type="first" r:id="rId18"/>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8822" w14:textId="77777777" w:rsidR="00CB2AAC" w:rsidRDefault="00CB2AAC" w:rsidP="006A5E99">
      <w:pPr>
        <w:spacing w:after="0" w:line="240" w:lineRule="auto"/>
      </w:pPr>
      <w:r>
        <w:separator/>
      </w:r>
    </w:p>
  </w:endnote>
  <w:endnote w:type="continuationSeparator" w:id="0">
    <w:p w14:paraId="746E653E" w14:textId="77777777" w:rsidR="00CB2AAC" w:rsidRDefault="00CB2AAC" w:rsidP="006A5E99">
      <w:pPr>
        <w:spacing w:after="0" w:line="240" w:lineRule="auto"/>
      </w:pPr>
      <w:r>
        <w:continuationSeparator/>
      </w:r>
    </w:p>
  </w:endnote>
  <w:endnote w:type="continuationNotice" w:id="1">
    <w:p w14:paraId="05AD1538" w14:textId="77777777" w:rsidR="00CB2AAC" w:rsidRDefault="00CB2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4772"/>
      <w:docPartObj>
        <w:docPartGallery w:val="Page Numbers (Bottom of Page)"/>
        <w:docPartUnique/>
      </w:docPartObj>
    </w:sdtPr>
    <w:sdtEndPr>
      <w:rPr>
        <w:noProof/>
      </w:rPr>
    </w:sdtEndPr>
    <w:sdtContent>
      <w:p w14:paraId="04C24668" w14:textId="0D72793E" w:rsidR="006A5E99" w:rsidRDefault="006A5E9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34750BC" w14:textId="77777777" w:rsidR="006A5E99" w:rsidRDefault="006A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017D" w14:textId="77777777" w:rsidR="00CB2AAC" w:rsidRDefault="00CB2AAC" w:rsidP="006A5E99">
      <w:pPr>
        <w:spacing w:after="0" w:line="240" w:lineRule="auto"/>
      </w:pPr>
      <w:r>
        <w:separator/>
      </w:r>
    </w:p>
  </w:footnote>
  <w:footnote w:type="continuationSeparator" w:id="0">
    <w:p w14:paraId="7A4F476D" w14:textId="77777777" w:rsidR="00CB2AAC" w:rsidRDefault="00CB2AAC" w:rsidP="006A5E99">
      <w:pPr>
        <w:spacing w:after="0" w:line="240" w:lineRule="auto"/>
      </w:pPr>
      <w:r>
        <w:continuationSeparator/>
      </w:r>
    </w:p>
  </w:footnote>
  <w:footnote w:type="continuationNotice" w:id="1">
    <w:p w14:paraId="55D0C49A" w14:textId="77777777" w:rsidR="00CB2AAC" w:rsidRDefault="00CB2AAC">
      <w:pPr>
        <w:spacing w:after="0" w:line="240" w:lineRule="auto"/>
      </w:pPr>
    </w:p>
  </w:footnote>
  <w:footnote w:id="2">
    <w:p w14:paraId="2B842F2C" w14:textId="6316EECF" w:rsidR="00D128FF" w:rsidRDefault="00D128FF">
      <w:pPr>
        <w:pStyle w:val="FootnoteText"/>
      </w:pPr>
      <w:r>
        <w:rPr>
          <w:rStyle w:val="FootnoteReference"/>
        </w:rPr>
        <w:footnoteRef/>
      </w:r>
      <w:r>
        <w:t xml:space="preserve"> All communication must comply with the National Embargo window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DCE0" w14:textId="6266DCA4" w:rsidR="00617F7C" w:rsidRDefault="00617F7C" w:rsidP="00617F7C">
    <w:pPr>
      <w:pStyle w:val="Header"/>
      <w:tabs>
        <w:tab w:val="clear" w:pos="4513"/>
        <w:tab w:val="clear" w:pos="9026"/>
        <w:tab w:val="left" w:pos="54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0DB4" w14:textId="35682367" w:rsidR="00617F7C" w:rsidRDefault="00617F7C" w:rsidP="00617F7C">
    <w:pPr>
      <w:pStyle w:val="Header"/>
      <w:jc w:val="right"/>
    </w:pPr>
    <w:r>
      <w:rPr>
        <w:noProof/>
        <w:color w:val="2B579A"/>
        <w:shd w:val="clear" w:color="auto" w:fill="E6E6E6"/>
      </w:rPr>
      <w:drawing>
        <wp:inline distT="0" distB="0" distL="0" distR="0" wp14:anchorId="5727C1F4" wp14:editId="4052E631">
          <wp:extent cx="2076450" cy="78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573" cy="792890"/>
                  </a:xfrm>
                  <a:prstGeom prst="rect">
                    <a:avLst/>
                  </a:prstGeom>
                </pic:spPr>
              </pic:pic>
            </a:graphicData>
          </a:graphic>
        </wp:inline>
      </w:drawing>
    </w:r>
  </w:p>
  <w:p w14:paraId="7722E907" w14:textId="23BAED88" w:rsidR="00D63FFC" w:rsidRDefault="00D63FFC" w:rsidP="005D402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TdZt5MJ" int2:invalidationBookmarkName="" int2:hashCode="RzSWpI+RCPMElZ" int2:id="ZVNwn0b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AB7"/>
    <w:multiLevelType w:val="multilevel"/>
    <w:tmpl w:val="D6504478"/>
    <w:lvl w:ilvl="0">
      <w:start w:val="1"/>
      <w:numFmt w:val="bullet"/>
      <w:lvlText w:val=""/>
      <w:lvlJc w:val="left"/>
      <w:pPr>
        <w:tabs>
          <w:tab w:val="num" w:pos="5965"/>
        </w:tabs>
        <w:ind w:left="5965" w:hanging="360"/>
      </w:pPr>
      <w:rPr>
        <w:rFonts w:ascii="Symbol" w:hAnsi="Symbol" w:hint="default"/>
        <w:sz w:val="20"/>
      </w:rPr>
    </w:lvl>
    <w:lvl w:ilvl="1" w:tentative="1">
      <w:start w:val="1"/>
      <w:numFmt w:val="bullet"/>
      <w:lvlText w:val="o"/>
      <w:lvlJc w:val="left"/>
      <w:pPr>
        <w:tabs>
          <w:tab w:val="num" w:pos="6685"/>
        </w:tabs>
        <w:ind w:left="6685" w:hanging="360"/>
      </w:pPr>
      <w:rPr>
        <w:rFonts w:ascii="Courier New" w:hAnsi="Courier New" w:hint="default"/>
        <w:sz w:val="20"/>
      </w:rPr>
    </w:lvl>
    <w:lvl w:ilvl="2" w:tentative="1">
      <w:start w:val="1"/>
      <w:numFmt w:val="bullet"/>
      <w:lvlText w:val=""/>
      <w:lvlJc w:val="left"/>
      <w:pPr>
        <w:tabs>
          <w:tab w:val="num" w:pos="7405"/>
        </w:tabs>
        <w:ind w:left="7405" w:hanging="360"/>
      </w:pPr>
      <w:rPr>
        <w:rFonts w:ascii="Wingdings" w:hAnsi="Wingdings" w:hint="default"/>
        <w:sz w:val="20"/>
      </w:rPr>
    </w:lvl>
    <w:lvl w:ilvl="3" w:tentative="1">
      <w:start w:val="1"/>
      <w:numFmt w:val="bullet"/>
      <w:lvlText w:val=""/>
      <w:lvlJc w:val="left"/>
      <w:pPr>
        <w:tabs>
          <w:tab w:val="num" w:pos="8125"/>
        </w:tabs>
        <w:ind w:left="8125" w:hanging="360"/>
      </w:pPr>
      <w:rPr>
        <w:rFonts w:ascii="Wingdings" w:hAnsi="Wingdings" w:hint="default"/>
        <w:sz w:val="20"/>
      </w:rPr>
    </w:lvl>
    <w:lvl w:ilvl="4" w:tentative="1">
      <w:start w:val="1"/>
      <w:numFmt w:val="bullet"/>
      <w:lvlText w:val=""/>
      <w:lvlJc w:val="left"/>
      <w:pPr>
        <w:tabs>
          <w:tab w:val="num" w:pos="8845"/>
        </w:tabs>
        <w:ind w:left="8845" w:hanging="360"/>
      </w:pPr>
      <w:rPr>
        <w:rFonts w:ascii="Wingdings" w:hAnsi="Wingdings" w:hint="default"/>
        <w:sz w:val="20"/>
      </w:rPr>
    </w:lvl>
    <w:lvl w:ilvl="5" w:tentative="1">
      <w:start w:val="1"/>
      <w:numFmt w:val="bullet"/>
      <w:lvlText w:val=""/>
      <w:lvlJc w:val="left"/>
      <w:pPr>
        <w:tabs>
          <w:tab w:val="num" w:pos="9565"/>
        </w:tabs>
        <w:ind w:left="9565" w:hanging="360"/>
      </w:pPr>
      <w:rPr>
        <w:rFonts w:ascii="Wingdings" w:hAnsi="Wingdings" w:hint="default"/>
        <w:sz w:val="20"/>
      </w:rPr>
    </w:lvl>
    <w:lvl w:ilvl="6" w:tentative="1">
      <w:start w:val="1"/>
      <w:numFmt w:val="bullet"/>
      <w:lvlText w:val=""/>
      <w:lvlJc w:val="left"/>
      <w:pPr>
        <w:tabs>
          <w:tab w:val="num" w:pos="10285"/>
        </w:tabs>
        <w:ind w:left="10285" w:hanging="360"/>
      </w:pPr>
      <w:rPr>
        <w:rFonts w:ascii="Wingdings" w:hAnsi="Wingdings" w:hint="default"/>
        <w:sz w:val="20"/>
      </w:rPr>
    </w:lvl>
    <w:lvl w:ilvl="7" w:tentative="1">
      <w:start w:val="1"/>
      <w:numFmt w:val="bullet"/>
      <w:lvlText w:val=""/>
      <w:lvlJc w:val="left"/>
      <w:pPr>
        <w:tabs>
          <w:tab w:val="num" w:pos="11005"/>
        </w:tabs>
        <w:ind w:left="11005" w:hanging="360"/>
      </w:pPr>
      <w:rPr>
        <w:rFonts w:ascii="Wingdings" w:hAnsi="Wingdings" w:hint="default"/>
        <w:sz w:val="20"/>
      </w:rPr>
    </w:lvl>
    <w:lvl w:ilvl="8" w:tentative="1">
      <w:start w:val="1"/>
      <w:numFmt w:val="bullet"/>
      <w:lvlText w:val=""/>
      <w:lvlJc w:val="left"/>
      <w:pPr>
        <w:tabs>
          <w:tab w:val="num" w:pos="11725"/>
        </w:tabs>
        <w:ind w:left="11725" w:hanging="360"/>
      </w:pPr>
      <w:rPr>
        <w:rFonts w:ascii="Wingdings" w:hAnsi="Wingdings" w:hint="default"/>
        <w:sz w:val="20"/>
      </w:rPr>
    </w:lvl>
  </w:abstractNum>
  <w:abstractNum w:abstractNumId="1" w15:restartNumberingAfterBreak="0">
    <w:nsid w:val="05A53082"/>
    <w:multiLevelType w:val="multilevel"/>
    <w:tmpl w:val="35E8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297"/>
    <w:multiLevelType w:val="multilevel"/>
    <w:tmpl w:val="C3D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4962"/>
    <w:multiLevelType w:val="multilevel"/>
    <w:tmpl w:val="140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F4B25"/>
    <w:multiLevelType w:val="hybridMultilevel"/>
    <w:tmpl w:val="F36E8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FF03A3"/>
    <w:multiLevelType w:val="multilevel"/>
    <w:tmpl w:val="583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1797F"/>
    <w:multiLevelType w:val="multilevel"/>
    <w:tmpl w:val="87A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7" w15:restartNumberingAfterBreak="0">
    <w:nsid w:val="5312309F"/>
    <w:multiLevelType w:val="multilevel"/>
    <w:tmpl w:val="133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042C4"/>
    <w:multiLevelType w:val="multilevel"/>
    <w:tmpl w:val="507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428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2C6F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CD196A"/>
    <w:multiLevelType w:val="multilevel"/>
    <w:tmpl w:val="46E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63D65"/>
    <w:multiLevelType w:val="multilevel"/>
    <w:tmpl w:val="3C2A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420589">
    <w:abstractNumId w:val="11"/>
  </w:num>
  <w:num w:numId="2" w16cid:durableId="2053843688">
    <w:abstractNumId w:val="7"/>
  </w:num>
  <w:num w:numId="3" w16cid:durableId="2110612306">
    <w:abstractNumId w:val="1"/>
  </w:num>
  <w:num w:numId="4" w16cid:durableId="10499573">
    <w:abstractNumId w:val="6"/>
  </w:num>
  <w:num w:numId="5" w16cid:durableId="1293174856">
    <w:abstractNumId w:val="12"/>
  </w:num>
  <w:num w:numId="6" w16cid:durableId="1517887074">
    <w:abstractNumId w:val="2"/>
  </w:num>
  <w:num w:numId="7" w16cid:durableId="1586109686">
    <w:abstractNumId w:val="3"/>
  </w:num>
  <w:num w:numId="8" w16cid:durableId="1113204387">
    <w:abstractNumId w:val="5"/>
  </w:num>
  <w:num w:numId="9" w16cid:durableId="282469412">
    <w:abstractNumId w:val="0"/>
  </w:num>
  <w:num w:numId="10" w16cid:durableId="1453788307">
    <w:abstractNumId w:val="4"/>
  </w:num>
  <w:num w:numId="11" w16cid:durableId="608783087">
    <w:abstractNumId w:val="10"/>
  </w:num>
  <w:num w:numId="12" w16cid:durableId="2091998191">
    <w:abstractNumId w:val="8"/>
  </w:num>
  <w:num w:numId="13" w16cid:durableId="311636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C6"/>
    <w:rsid w:val="0000067B"/>
    <w:rsid w:val="00003384"/>
    <w:rsid w:val="0000377E"/>
    <w:rsid w:val="00005CE4"/>
    <w:rsid w:val="00011626"/>
    <w:rsid w:val="00011FE3"/>
    <w:rsid w:val="00022BFB"/>
    <w:rsid w:val="000363CE"/>
    <w:rsid w:val="000434EA"/>
    <w:rsid w:val="00044576"/>
    <w:rsid w:val="00066619"/>
    <w:rsid w:val="00074726"/>
    <w:rsid w:val="00074DC6"/>
    <w:rsid w:val="00077606"/>
    <w:rsid w:val="0008237F"/>
    <w:rsid w:val="0008497F"/>
    <w:rsid w:val="0008770D"/>
    <w:rsid w:val="00092998"/>
    <w:rsid w:val="000941B3"/>
    <w:rsid w:val="00094A34"/>
    <w:rsid w:val="000954DE"/>
    <w:rsid w:val="000A0733"/>
    <w:rsid w:val="000A7CCD"/>
    <w:rsid w:val="000B269B"/>
    <w:rsid w:val="000C2804"/>
    <w:rsid w:val="000C5F05"/>
    <w:rsid w:val="000D4D5B"/>
    <w:rsid w:val="000D55A8"/>
    <w:rsid w:val="000D59BE"/>
    <w:rsid w:val="000E6D8A"/>
    <w:rsid w:val="000F68A7"/>
    <w:rsid w:val="000F7ACF"/>
    <w:rsid w:val="00103DC4"/>
    <w:rsid w:val="00104B47"/>
    <w:rsid w:val="001056E8"/>
    <w:rsid w:val="00105F86"/>
    <w:rsid w:val="0011315A"/>
    <w:rsid w:val="001143C8"/>
    <w:rsid w:val="00114D4C"/>
    <w:rsid w:val="00115FC4"/>
    <w:rsid w:val="00117E4D"/>
    <w:rsid w:val="00121AB8"/>
    <w:rsid w:val="0013064E"/>
    <w:rsid w:val="00136551"/>
    <w:rsid w:val="00142010"/>
    <w:rsid w:val="001468C2"/>
    <w:rsid w:val="00150A40"/>
    <w:rsid w:val="00151A2B"/>
    <w:rsid w:val="001544E3"/>
    <w:rsid w:val="0015774B"/>
    <w:rsid w:val="00165C5C"/>
    <w:rsid w:val="00166A86"/>
    <w:rsid w:val="00170559"/>
    <w:rsid w:val="00172474"/>
    <w:rsid w:val="00176897"/>
    <w:rsid w:val="00176F39"/>
    <w:rsid w:val="00182530"/>
    <w:rsid w:val="00185894"/>
    <w:rsid w:val="00187882"/>
    <w:rsid w:val="00191F39"/>
    <w:rsid w:val="00192F8F"/>
    <w:rsid w:val="001940CC"/>
    <w:rsid w:val="00196549"/>
    <w:rsid w:val="001A761B"/>
    <w:rsid w:val="001B2FCD"/>
    <w:rsid w:val="001B35E7"/>
    <w:rsid w:val="001B3651"/>
    <w:rsid w:val="001C2C59"/>
    <w:rsid w:val="001C3292"/>
    <w:rsid w:val="001C7BF6"/>
    <w:rsid w:val="001D476D"/>
    <w:rsid w:val="001D4B8C"/>
    <w:rsid w:val="001D60F4"/>
    <w:rsid w:val="001E1B21"/>
    <w:rsid w:val="001E71A4"/>
    <w:rsid w:val="001E7DA7"/>
    <w:rsid w:val="001F6E55"/>
    <w:rsid w:val="001F73AF"/>
    <w:rsid w:val="00200073"/>
    <w:rsid w:val="00203D71"/>
    <w:rsid w:val="002128BF"/>
    <w:rsid w:val="002157D3"/>
    <w:rsid w:val="00220971"/>
    <w:rsid w:val="00223F51"/>
    <w:rsid w:val="00231BB9"/>
    <w:rsid w:val="00231F16"/>
    <w:rsid w:val="00240DFA"/>
    <w:rsid w:val="002421EF"/>
    <w:rsid w:val="0024636C"/>
    <w:rsid w:val="002528C8"/>
    <w:rsid w:val="00255A6F"/>
    <w:rsid w:val="00257C09"/>
    <w:rsid w:val="0026330F"/>
    <w:rsid w:val="00264CFC"/>
    <w:rsid w:val="00270AE1"/>
    <w:rsid w:val="00272A50"/>
    <w:rsid w:val="002762DB"/>
    <w:rsid w:val="00276A97"/>
    <w:rsid w:val="00280E4B"/>
    <w:rsid w:val="0028682D"/>
    <w:rsid w:val="002A0834"/>
    <w:rsid w:val="002A0E5F"/>
    <w:rsid w:val="002A1574"/>
    <w:rsid w:val="002A6951"/>
    <w:rsid w:val="002C0136"/>
    <w:rsid w:val="002C64DA"/>
    <w:rsid w:val="002D02F4"/>
    <w:rsid w:val="002D0A2B"/>
    <w:rsid w:val="002D353D"/>
    <w:rsid w:val="002D437B"/>
    <w:rsid w:val="002D65D6"/>
    <w:rsid w:val="002F40CD"/>
    <w:rsid w:val="002F7E55"/>
    <w:rsid w:val="003004DF"/>
    <w:rsid w:val="00302D5C"/>
    <w:rsid w:val="00303488"/>
    <w:rsid w:val="003076BB"/>
    <w:rsid w:val="003163E4"/>
    <w:rsid w:val="00317F2E"/>
    <w:rsid w:val="0032070B"/>
    <w:rsid w:val="00322B9E"/>
    <w:rsid w:val="0033040D"/>
    <w:rsid w:val="00333844"/>
    <w:rsid w:val="00334698"/>
    <w:rsid w:val="003431E4"/>
    <w:rsid w:val="00345AB7"/>
    <w:rsid w:val="00350E57"/>
    <w:rsid w:val="00352F93"/>
    <w:rsid w:val="003537A2"/>
    <w:rsid w:val="00364D7E"/>
    <w:rsid w:val="00366C4B"/>
    <w:rsid w:val="00366CFE"/>
    <w:rsid w:val="00367353"/>
    <w:rsid w:val="00367CC2"/>
    <w:rsid w:val="00373A8C"/>
    <w:rsid w:val="003826F4"/>
    <w:rsid w:val="0038585F"/>
    <w:rsid w:val="0039394C"/>
    <w:rsid w:val="00396B0E"/>
    <w:rsid w:val="003A1C92"/>
    <w:rsid w:val="003A5625"/>
    <w:rsid w:val="003A68FF"/>
    <w:rsid w:val="003B2E02"/>
    <w:rsid w:val="003B3183"/>
    <w:rsid w:val="003B3C1D"/>
    <w:rsid w:val="003C0BDA"/>
    <w:rsid w:val="003C0D39"/>
    <w:rsid w:val="003D327B"/>
    <w:rsid w:val="003E4D69"/>
    <w:rsid w:val="003E5C76"/>
    <w:rsid w:val="003F06B7"/>
    <w:rsid w:val="003F1B4E"/>
    <w:rsid w:val="003F1BF7"/>
    <w:rsid w:val="003F285D"/>
    <w:rsid w:val="003F6E63"/>
    <w:rsid w:val="00404678"/>
    <w:rsid w:val="00406FAC"/>
    <w:rsid w:val="00407EB7"/>
    <w:rsid w:val="00410361"/>
    <w:rsid w:val="0042298D"/>
    <w:rsid w:val="004315D9"/>
    <w:rsid w:val="004402EA"/>
    <w:rsid w:val="00443198"/>
    <w:rsid w:val="00444382"/>
    <w:rsid w:val="00446F5F"/>
    <w:rsid w:val="0044702D"/>
    <w:rsid w:val="004472D6"/>
    <w:rsid w:val="00453A03"/>
    <w:rsid w:val="004604AB"/>
    <w:rsid w:val="00463829"/>
    <w:rsid w:val="004655AC"/>
    <w:rsid w:val="00467CDB"/>
    <w:rsid w:val="00472236"/>
    <w:rsid w:val="00472418"/>
    <w:rsid w:val="00473861"/>
    <w:rsid w:val="0047623A"/>
    <w:rsid w:val="00477AB8"/>
    <w:rsid w:val="00484E82"/>
    <w:rsid w:val="004858BC"/>
    <w:rsid w:val="00487534"/>
    <w:rsid w:val="00490AA7"/>
    <w:rsid w:val="00491421"/>
    <w:rsid w:val="0049286B"/>
    <w:rsid w:val="004A0D68"/>
    <w:rsid w:val="004A2E91"/>
    <w:rsid w:val="004A6DF7"/>
    <w:rsid w:val="004B15B0"/>
    <w:rsid w:val="004B18D5"/>
    <w:rsid w:val="004B336F"/>
    <w:rsid w:val="004B4E26"/>
    <w:rsid w:val="004B551B"/>
    <w:rsid w:val="004E306C"/>
    <w:rsid w:val="004E6071"/>
    <w:rsid w:val="004F1FE1"/>
    <w:rsid w:val="004F33FD"/>
    <w:rsid w:val="004F51C1"/>
    <w:rsid w:val="004F6E29"/>
    <w:rsid w:val="004F7AB0"/>
    <w:rsid w:val="00500C1C"/>
    <w:rsid w:val="00500CD0"/>
    <w:rsid w:val="00501FA9"/>
    <w:rsid w:val="0050776D"/>
    <w:rsid w:val="00507E21"/>
    <w:rsid w:val="00512D41"/>
    <w:rsid w:val="00514979"/>
    <w:rsid w:val="005157C6"/>
    <w:rsid w:val="00517ABA"/>
    <w:rsid w:val="00531A30"/>
    <w:rsid w:val="00540365"/>
    <w:rsid w:val="00551221"/>
    <w:rsid w:val="005512A9"/>
    <w:rsid w:val="00552FAC"/>
    <w:rsid w:val="0055503D"/>
    <w:rsid w:val="00555D63"/>
    <w:rsid w:val="0056477B"/>
    <w:rsid w:val="005675C9"/>
    <w:rsid w:val="00573930"/>
    <w:rsid w:val="005807F1"/>
    <w:rsid w:val="00581824"/>
    <w:rsid w:val="0058725A"/>
    <w:rsid w:val="005919A6"/>
    <w:rsid w:val="00591FF0"/>
    <w:rsid w:val="005A1F21"/>
    <w:rsid w:val="005A3E60"/>
    <w:rsid w:val="005A453E"/>
    <w:rsid w:val="005B030E"/>
    <w:rsid w:val="005B47C1"/>
    <w:rsid w:val="005C297F"/>
    <w:rsid w:val="005C4953"/>
    <w:rsid w:val="005D0D33"/>
    <w:rsid w:val="005D1215"/>
    <w:rsid w:val="005D270C"/>
    <w:rsid w:val="005D2BA0"/>
    <w:rsid w:val="005D4029"/>
    <w:rsid w:val="005D560E"/>
    <w:rsid w:val="005E0046"/>
    <w:rsid w:val="005E26E8"/>
    <w:rsid w:val="005E323F"/>
    <w:rsid w:val="005F309A"/>
    <w:rsid w:val="005F4159"/>
    <w:rsid w:val="005F7B0F"/>
    <w:rsid w:val="0060085C"/>
    <w:rsid w:val="00604686"/>
    <w:rsid w:val="00606B89"/>
    <w:rsid w:val="00617F7C"/>
    <w:rsid w:val="00621A24"/>
    <w:rsid w:val="00624183"/>
    <w:rsid w:val="00624A3C"/>
    <w:rsid w:val="00624D3B"/>
    <w:rsid w:val="006254E9"/>
    <w:rsid w:val="006263E4"/>
    <w:rsid w:val="00626B6B"/>
    <w:rsid w:val="0063015B"/>
    <w:rsid w:val="00633FF0"/>
    <w:rsid w:val="00635243"/>
    <w:rsid w:val="0063715C"/>
    <w:rsid w:val="006432B6"/>
    <w:rsid w:val="00643518"/>
    <w:rsid w:val="006464E8"/>
    <w:rsid w:val="00653976"/>
    <w:rsid w:val="00654792"/>
    <w:rsid w:val="006627BC"/>
    <w:rsid w:val="00664E3F"/>
    <w:rsid w:val="00665958"/>
    <w:rsid w:val="00672201"/>
    <w:rsid w:val="00672600"/>
    <w:rsid w:val="00683249"/>
    <w:rsid w:val="0069056F"/>
    <w:rsid w:val="00691C21"/>
    <w:rsid w:val="00696412"/>
    <w:rsid w:val="006A0A6C"/>
    <w:rsid w:val="006A240B"/>
    <w:rsid w:val="006A52A3"/>
    <w:rsid w:val="006A5E99"/>
    <w:rsid w:val="006B4A0E"/>
    <w:rsid w:val="006B63B1"/>
    <w:rsid w:val="006C4F5C"/>
    <w:rsid w:val="006C6026"/>
    <w:rsid w:val="006C707D"/>
    <w:rsid w:val="006C7B23"/>
    <w:rsid w:val="006D027E"/>
    <w:rsid w:val="006D0FDC"/>
    <w:rsid w:val="006D271B"/>
    <w:rsid w:val="006D318C"/>
    <w:rsid w:val="006D35DB"/>
    <w:rsid w:val="006D4E6A"/>
    <w:rsid w:val="006D7B2C"/>
    <w:rsid w:val="006E0262"/>
    <w:rsid w:val="006E490A"/>
    <w:rsid w:val="006F23EB"/>
    <w:rsid w:val="006F7361"/>
    <w:rsid w:val="00702D65"/>
    <w:rsid w:val="007037BF"/>
    <w:rsid w:val="00703C39"/>
    <w:rsid w:val="00716BD2"/>
    <w:rsid w:val="00723D02"/>
    <w:rsid w:val="007256F0"/>
    <w:rsid w:val="00726046"/>
    <w:rsid w:val="00727ADD"/>
    <w:rsid w:val="00734399"/>
    <w:rsid w:val="00734F6C"/>
    <w:rsid w:val="00735584"/>
    <w:rsid w:val="007357A1"/>
    <w:rsid w:val="007416DC"/>
    <w:rsid w:val="007418E8"/>
    <w:rsid w:val="00754506"/>
    <w:rsid w:val="00755BD7"/>
    <w:rsid w:val="007567A2"/>
    <w:rsid w:val="0076170B"/>
    <w:rsid w:val="00764D5D"/>
    <w:rsid w:val="00767B46"/>
    <w:rsid w:val="00770A0D"/>
    <w:rsid w:val="0077284A"/>
    <w:rsid w:val="007904DF"/>
    <w:rsid w:val="007A618D"/>
    <w:rsid w:val="007B31EE"/>
    <w:rsid w:val="007B7DAF"/>
    <w:rsid w:val="007C59FE"/>
    <w:rsid w:val="007D1695"/>
    <w:rsid w:val="007D195F"/>
    <w:rsid w:val="007E4298"/>
    <w:rsid w:val="007E5F88"/>
    <w:rsid w:val="007F33B6"/>
    <w:rsid w:val="007F7B77"/>
    <w:rsid w:val="00802042"/>
    <w:rsid w:val="008026B7"/>
    <w:rsid w:val="00803348"/>
    <w:rsid w:val="00804645"/>
    <w:rsid w:val="00806D36"/>
    <w:rsid w:val="00817E27"/>
    <w:rsid w:val="00821AE0"/>
    <w:rsid w:val="00823DC5"/>
    <w:rsid w:val="008271C6"/>
    <w:rsid w:val="00833851"/>
    <w:rsid w:val="00834B04"/>
    <w:rsid w:val="0084226A"/>
    <w:rsid w:val="00844F44"/>
    <w:rsid w:val="00846E12"/>
    <w:rsid w:val="00847B27"/>
    <w:rsid w:val="00850F90"/>
    <w:rsid w:val="00851EEA"/>
    <w:rsid w:val="008529B4"/>
    <w:rsid w:val="00856C67"/>
    <w:rsid w:val="00857265"/>
    <w:rsid w:val="008672D9"/>
    <w:rsid w:val="0088180A"/>
    <w:rsid w:val="008836A6"/>
    <w:rsid w:val="00885DE6"/>
    <w:rsid w:val="0088715B"/>
    <w:rsid w:val="00887593"/>
    <w:rsid w:val="00893FBF"/>
    <w:rsid w:val="008A6DEA"/>
    <w:rsid w:val="008B1574"/>
    <w:rsid w:val="008B4AC7"/>
    <w:rsid w:val="008B5E67"/>
    <w:rsid w:val="008C266A"/>
    <w:rsid w:val="008C3D0C"/>
    <w:rsid w:val="008D44A9"/>
    <w:rsid w:val="008E03E4"/>
    <w:rsid w:val="008E0CBF"/>
    <w:rsid w:val="008E483D"/>
    <w:rsid w:val="008F1DE0"/>
    <w:rsid w:val="008F2E30"/>
    <w:rsid w:val="008F51DF"/>
    <w:rsid w:val="008F7785"/>
    <w:rsid w:val="00901339"/>
    <w:rsid w:val="00901E86"/>
    <w:rsid w:val="00902340"/>
    <w:rsid w:val="009057F8"/>
    <w:rsid w:val="00907434"/>
    <w:rsid w:val="00907F8F"/>
    <w:rsid w:val="00911D09"/>
    <w:rsid w:val="00913767"/>
    <w:rsid w:val="00913E08"/>
    <w:rsid w:val="009224BD"/>
    <w:rsid w:val="00935A9E"/>
    <w:rsid w:val="0093789D"/>
    <w:rsid w:val="00944E04"/>
    <w:rsid w:val="00947CFA"/>
    <w:rsid w:val="009521DA"/>
    <w:rsid w:val="00952EFD"/>
    <w:rsid w:val="00964A99"/>
    <w:rsid w:val="009663FA"/>
    <w:rsid w:val="00970CF3"/>
    <w:rsid w:val="009776B2"/>
    <w:rsid w:val="009842B2"/>
    <w:rsid w:val="009850AB"/>
    <w:rsid w:val="00987AB2"/>
    <w:rsid w:val="00991E25"/>
    <w:rsid w:val="00992192"/>
    <w:rsid w:val="009925CE"/>
    <w:rsid w:val="00993F2E"/>
    <w:rsid w:val="00994AE6"/>
    <w:rsid w:val="0099624D"/>
    <w:rsid w:val="009A0265"/>
    <w:rsid w:val="009A4CE6"/>
    <w:rsid w:val="009A5399"/>
    <w:rsid w:val="009B0855"/>
    <w:rsid w:val="009C2445"/>
    <w:rsid w:val="009C49A9"/>
    <w:rsid w:val="009C6BAD"/>
    <w:rsid w:val="009C6F11"/>
    <w:rsid w:val="009C704A"/>
    <w:rsid w:val="009D695A"/>
    <w:rsid w:val="009E01D5"/>
    <w:rsid w:val="009E02E8"/>
    <w:rsid w:val="009E133B"/>
    <w:rsid w:val="009E295B"/>
    <w:rsid w:val="009E3C1E"/>
    <w:rsid w:val="009E4DE0"/>
    <w:rsid w:val="009E5046"/>
    <w:rsid w:val="009E5698"/>
    <w:rsid w:val="009E5ACB"/>
    <w:rsid w:val="009E61BE"/>
    <w:rsid w:val="009F1E59"/>
    <w:rsid w:val="009F1FBF"/>
    <w:rsid w:val="009F32DC"/>
    <w:rsid w:val="009F403D"/>
    <w:rsid w:val="00A00046"/>
    <w:rsid w:val="00A00D48"/>
    <w:rsid w:val="00A010CE"/>
    <w:rsid w:val="00A0333D"/>
    <w:rsid w:val="00A10A34"/>
    <w:rsid w:val="00A12476"/>
    <w:rsid w:val="00A1449F"/>
    <w:rsid w:val="00A17597"/>
    <w:rsid w:val="00A211F9"/>
    <w:rsid w:val="00A23100"/>
    <w:rsid w:val="00A273D9"/>
    <w:rsid w:val="00A3144E"/>
    <w:rsid w:val="00A320C6"/>
    <w:rsid w:val="00A32404"/>
    <w:rsid w:val="00A33FEB"/>
    <w:rsid w:val="00A4456A"/>
    <w:rsid w:val="00A5160D"/>
    <w:rsid w:val="00A5384C"/>
    <w:rsid w:val="00A54255"/>
    <w:rsid w:val="00A57714"/>
    <w:rsid w:val="00A61D6D"/>
    <w:rsid w:val="00A7261F"/>
    <w:rsid w:val="00A76FE7"/>
    <w:rsid w:val="00A77A78"/>
    <w:rsid w:val="00A81A86"/>
    <w:rsid w:val="00A833CB"/>
    <w:rsid w:val="00A940E2"/>
    <w:rsid w:val="00AA2738"/>
    <w:rsid w:val="00AA5C7D"/>
    <w:rsid w:val="00AA6AEF"/>
    <w:rsid w:val="00AC1455"/>
    <w:rsid w:val="00AC16E4"/>
    <w:rsid w:val="00AC3767"/>
    <w:rsid w:val="00AC3BBF"/>
    <w:rsid w:val="00AD024D"/>
    <w:rsid w:val="00AD29A7"/>
    <w:rsid w:val="00AE223E"/>
    <w:rsid w:val="00AE3B26"/>
    <w:rsid w:val="00AE3B59"/>
    <w:rsid w:val="00AE4236"/>
    <w:rsid w:val="00AE5AE5"/>
    <w:rsid w:val="00AE5DC6"/>
    <w:rsid w:val="00AF0FDC"/>
    <w:rsid w:val="00AF6701"/>
    <w:rsid w:val="00AF698C"/>
    <w:rsid w:val="00B0290A"/>
    <w:rsid w:val="00B122A4"/>
    <w:rsid w:val="00B22ED6"/>
    <w:rsid w:val="00B232E3"/>
    <w:rsid w:val="00B25EF6"/>
    <w:rsid w:val="00B30980"/>
    <w:rsid w:val="00B30E79"/>
    <w:rsid w:val="00B3114F"/>
    <w:rsid w:val="00B35726"/>
    <w:rsid w:val="00B456B8"/>
    <w:rsid w:val="00B52C92"/>
    <w:rsid w:val="00B5774A"/>
    <w:rsid w:val="00B60F85"/>
    <w:rsid w:val="00B67A24"/>
    <w:rsid w:val="00B70467"/>
    <w:rsid w:val="00B72653"/>
    <w:rsid w:val="00B77B74"/>
    <w:rsid w:val="00B816A1"/>
    <w:rsid w:val="00B81A66"/>
    <w:rsid w:val="00B91FAC"/>
    <w:rsid w:val="00BA1834"/>
    <w:rsid w:val="00BA3811"/>
    <w:rsid w:val="00BA4038"/>
    <w:rsid w:val="00BA4179"/>
    <w:rsid w:val="00BB0626"/>
    <w:rsid w:val="00BB609B"/>
    <w:rsid w:val="00BD10AD"/>
    <w:rsid w:val="00BD2623"/>
    <w:rsid w:val="00BE414E"/>
    <w:rsid w:val="00BE6E24"/>
    <w:rsid w:val="00BF2090"/>
    <w:rsid w:val="00BF21E9"/>
    <w:rsid w:val="00BF50BA"/>
    <w:rsid w:val="00BF5BDF"/>
    <w:rsid w:val="00C1639F"/>
    <w:rsid w:val="00C179CC"/>
    <w:rsid w:val="00C27222"/>
    <w:rsid w:val="00C41062"/>
    <w:rsid w:val="00C525C9"/>
    <w:rsid w:val="00C5527F"/>
    <w:rsid w:val="00C61CC7"/>
    <w:rsid w:val="00C63D30"/>
    <w:rsid w:val="00C65139"/>
    <w:rsid w:val="00C74757"/>
    <w:rsid w:val="00C80FD4"/>
    <w:rsid w:val="00C823B9"/>
    <w:rsid w:val="00C8404D"/>
    <w:rsid w:val="00C87703"/>
    <w:rsid w:val="00CA120C"/>
    <w:rsid w:val="00CA13A7"/>
    <w:rsid w:val="00CA76E6"/>
    <w:rsid w:val="00CB2AAC"/>
    <w:rsid w:val="00CB386A"/>
    <w:rsid w:val="00CB58F1"/>
    <w:rsid w:val="00CC2315"/>
    <w:rsid w:val="00CC316D"/>
    <w:rsid w:val="00CE07D6"/>
    <w:rsid w:val="00CE2F37"/>
    <w:rsid w:val="00CE6154"/>
    <w:rsid w:val="00CF0397"/>
    <w:rsid w:val="00CF0D77"/>
    <w:rsid w:val="00CF2176"/>
    <w:rsid w:val="00CF607E"/>
    <w:rsid w:val="00D0225D"/>
    <w:rsid w:val="00D02518"/>
    <w:rsid w:val="00D04C03"/>
    <w:rsid w:val="00D05CD8"/>
    <w:rsid w:val="00D06B6F"/>
    <w:rsid w:val="00D107AC"/>
    <w:rsid w:val="00D1087D"/>
    <w:rsid w:val="00D111BB"/>
    <w:rsid w:val="00D11216"/>
    <w:rsid w:val="00D128FF"/>
    <w:rsid w:val="00D20334"/>
    <w:rsid w:val="00D231C7"/>
    <w:rsid w:val="00D26C76"/>
    <w:rsid w:val="00D26EEB"/>
    <w:rsid w:val="00D278C9"/>
    <w:rsid w:val="00D327F8"/>
    <w:rsid w:val="00D32842"/>
    <w:rsid w:val="00D33E7C"/>
    <w:rsid w:val="00D3706E"/>
    <w:rsid w:val="00D407CE"/>
    <w:rsid w:val="00D47599"/>
    <w:rsid w:val="00D50D55"/>
    <w:rsid w:val="00D51B0E"/>
    <w:rsid w:val="00D52DB7"/>
    <w:rsid w:val="00D557F7"/>
    <w:rsid w:val="00D56773"/>
    <w:rsid w:val="00D61615"/>
    <w:rsid w:val="00D63FFC"/>
    <w:rsid w:val="00D64E4D"/>
    <w:rsid w:val="00D737C5"/>
    <w:rsid w:val="00D817F9"/>
    <w:rsid w:val="00D82094"/>
    <w:rsid w:val="00D84EC5"/>
    <w:rsid w:val="00D8650A"/>
    <w:rsid w:val="00D90274"/>
    <w:rsid w:val="00D931F6"/>
    <w:rsid w:val="00D95FD1"/>
    <w:rsid w:val="00D9788D"/>
    <w:rsid w:val="00DA0003"/>
    <w:rsid w:val="00DA2948"/>
    <w:rsid w:val="00DA651B"/>
    <w:rsid w:val="00DB0DE0"/>
    <w:rsid w:val="00DC4740"/>
    <w:rsid w:val="00DC77E6"/>
    <w:rsid w:val="00DD2BEE"/>
    <w:rsid w:val="00DD3E83"/>
    <w:rsid w:val="00DE6D3B"/>
    <w:rsid w:val="00DE7DD7"/>
    <w:rsid w:val="00DF38A0"/>
    <w:rsid w:val="00DF5B22"/>
    <w:rsid w:val="00DF73E4"/>
    <w:rsid w:val="00E13EE2"/>
    <w:rsid w:val="00E21708"/>
    <w:rsid w:val="00E22C03"/>
    <w:rsid w:val="00E22E6E"/>
    <w:rsid w:val="00E3163F"/>
    <w:rsid w:val="00E527B8"/>
    <w:rsid w:val="00E54D76"/>
    <w:rsid w:val="00E562B1"/>
    <w:rsid w:val="00E6290D"/>
    <w:rsid w:val="00E64E4E"/>
    <w:rsid w:val="00E74902"/>
    <w:rsid w:val="00E75161"/>
    <w:rsid w:val="00E75AD5"/>
    <w:rsid w:val="00E808BC"/>
    <w:rsid w:val="00E832FD"/>
    <w:rsid w:val="00E8589E"/>
    <w:rsid w:val="00E85925"/>
    <w:rsid w:val="00E870C2"/>
    <w:rsid w:val="00E873C6"/>
    <w:rsid w:val="00E94AD2"/>
    <w:rsid w:val="00E94C73"/>
    <w:rsid w:val="00EA16E5"/>
    <w:rsid w:val="00EA2765"/>
    <w:rsid w:val="00EA2856"/>
    <w:rsid w:val="00EA5EA1"/>
    <w:rsid w:val="00EA7283"/>
    <w:rsid w:val="00EB073C"/>
    <w:rsid w:val="00EB25BB"/>
    <w:rsid w:val="00EC2CD9"/>
    <w:rsid w:val="00EC725C"/>
    <w:rsid w:val="00ED1414"/>
    <w:rsid w:val="00ED33D6"/>
    <w:rsid w:val="00ED403C"/>
    <w:rsid w:val="00ED7EC4"/>
    <w:rsid w:val="00EF1F48"/>
    <w:rsid w:val="00EF3789"/>
    <w:rsid w:val="00EF466B"/>
    <w:rsid w:val="00F0034F"/>
    <w:rsid w:val="00F025EC"/>
    <w:rsid w:val="00F032EE"/>
    <w:rsid w:val="00F11C99"/>
    <w:rsid w:val="00F13D52"/>
    <w:rsid w:val="00F1401C"/>
    <w:rsid w:val="00F15B8D"/>
    <w:rsid w:val="00F17E06"/>
    <w:rsid w:val="00F32071"/>
    <w:rsid w:val="00F32B1D"/>
    <w:rsid w:val="00F36094"/>
    <w:rsid w:val="00F444FF"/>
    <w:rsid w:val="00F50718"/>
    <w:rsid w:val="00F6009C"/>
    <w:rsid w:val="00F63BC6"/>
    <w:rsid w:val="00F6475A"/>
    <w:rsid w:val="00F7066B"/>
    <w:rsid w:val="00F7577C"/>
    <w:rsid w:val="00F76B2A"/>
    <w:rsid w:val="00F81F54"/>
    <w:rsid w:val="00F823F7"/>
    <w:rsid w:val="00F82E12"/>
    <w:rsid w:val="00F82E32"/>
    <w:rsid w:val="00F83222"/>
    <w:rsid w:val="00F83E90"/>
    <w:rsid w:val="00F858E3"/>
    <w:rsid w:val="00F91AA4"/>
    <w:rsid w:val="00F92086"/>
    <w:rsid w:val="00F92345"/>
    <w:rsid w:val="00F9429E"/>
    <w:rsid w:val="00F94D62"/>
    <w:rsid w:val="00F96998"/>
    <w:rsid w:val="00FA249E"/>
    <w:rsid w:val="00FA6EA8"/>
    <w:rsid w:val="00FA7C7A"/>
    <w:rsid w:val="00FB06D8"/>
    <w:rsid w:val="00FB2947"/>
    <w:rsid w:val="00FB607B"/>
    <w:rsid w:val="00FC07B5"/>
    <w:rsid w:val="00FC1996"/>
    <w:rsid w:val="00FD3FF3"/>
    <w:rsid w:val="00FD694A"/>
    <w:rsid w:val="00FE2E82"/>
    <w:rsid w:val="00FE7C41"/>
    <w:rsid w:val="00FE7E71"/>
    <w:rsid w:val="00FF08DC"/>
    <w:rsid w:val="00FF0C4C"/>
    <w:rsid w:val="00FF2E86"/>
    <w:rsid w:val="041703B0"/>
    <w:rsid w:val="04E95142"/>
    <w:rsid w:val="05DD6A27"/>
    <w:rsid w:val="0642AB72"/>
    <w:rsid w:val="072B8B06"/>
    <w:rsid w:val="0776EC58"/>
    <w:rsid w:val="09BD21E3"/>
    <w:rsid w:val="09E48633"/>
    <w:rsid w:val="0C4C55B9"/>
    <w:rsid w:val="0DCD057F"/>
    <w:rsid w:val="0DE0617D"/>
    <w:rsid w:val="0F7D8D94"/>
    <w:rsid w:val="0FF65A41"/>
    <w:rsid w:val="10DDE823"/>
    <w:rsid w:val="112871C9"/>
    <w:rsid w:val="148E6DC2"/>
    <w:rsid w:val="1C0537D0"/>
    <w:rsid w:val="1DC08EBB"/>
    <w:rsid w:val="1DD7C0A3"/>
    <w:rsid w:val="2041E5EA"/>
    <w:rsid w:val="21E4AAC3"/>
    <w:rsid w:val="220E8CFE"/>
    <w:rsid w:val="23AA5D5F"/>
    <w:rsid w:val="23AC559D"/>
    <w:rsid w:val="24FE1E71"/>
    <w:rsid w:val="25765EAF"/>
    <w:rsid w:val="2600D964"/>
    <w:rsid w:val="2644C5B4"/>
    <w:rsid w:val="28C1A73D"/>
    <w:rsid w:val="29D52DFD"/>
    <w:rsid w:val="29DC52F9"/>
    <w:rsid w:val="2C63B126"/>
    <w:rsid w:val="2D90121E"/>
    <w:rsid w:val="32961E7D"/>
    <w:rsid w:val="3305265E"/>
    <w:rsid w:val="34440931"/>
    <w:rsid w:val="38A93F1E"/>
    <w:rsid w:val="38E46D44"/>
    <w:rsid w:val="397EE423"/>
    <w:rsid w:val="39DAF170"/>
    <w:rsid w:val="3C3AAAB0"/>
    <w:rsid w:val="3D32050B"/>
    <w:rsid w:val="3D591E5D"/>
    <w:rsid w:val="3DD15E1C"/>
    <w:rsid w:val="3E9B1530"/>
    <w:rsid w:val="41D04A5E"/>
    <w:rsid w:val="428B352C"/>
    <w:rsid w:val="437BE7DE"/>
    <w:rsid w:val="456DD2D5"/>
    <w:rsid w:val="45AD0790"/>
    <w:rsid w:val="49D62DCE"/>
    <w:rsid w:val="4AA26D70"/>
    <w:rsid w:val="4B24FA09"/>
    <w:rsid w:val="4B464205"/>
    <w:rsid w:val="4BF80CD4"/>
    <w:rsid w:val="4C28643C"/>
    <w:rsid w:val="4DEA41B3"/>
    <w:rsid w:val="4EB5C309"/>
    <w:rsid w:val="4EC9FEE6"/>
    <w:rsid w:val="4ED57FA8"/>
    <w:rsid w:val="55781BAE"/>
    <w:rsid w:val="5585C6BD"/>
    <w:rsid w:val="560FA088"/>
    <w:rsid w:val="571D146C"/>
    <w:rsid w:val="5B5F6481"/>
    <w:rsid w:val="5D83210A"/>
    <w:rsid w:val="5DC2E696"/>
    <w:rsid w:val="5E2B065D"/>
    <w:rsid w:val="60F77317"/>
    <w:rsid w:val="6174465A"/>
    <w:rsid w:val="61A70ED0"/>
    <w:rsid w:val="63C499E6"/>
    <w:rsid w:val="66298F68"/>
    <w:rsid w:val="68C1B765"/>
    <w:rsid w:val="692D8FBF"/>
    <w:rsid w:val="6965529A"/>
    <w:rsid w:val="69B996A4"/>
    <w:rsid w:val="6D89B0DB"/>
    <w:rsid w:val="6FD1979C"/>
    <w:rsid w:val="71573C22"/>
    <w:rsid w:val="7276D74C"/>
    <w:rsid w:val="74D6AA97"/>
    <w:rsid w:val="75E76DDA"/>
    <w:rsid w:val="76CE09AC"/>
    <w:rsid w:val="772EF8CC"/>
    <w:rsid w:val="77F6E921"/>
    <w:rsid w:val="798233EE"/>
    <w:rsid w:val="79FF16C3"/>
    <w:rsid w:val="7A5C19BA"/>
    <w:rsid w:val="7AD42A38"/>
    <w:rsid w:val="7C176977"/>
    <w:rsid w:val="7D6FA937"/>
    <w:rsid w:val="7EA113C9"/>
    <w:rsid w:val="7F5B1C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6509"/>
  <w15:chartTrackingRefBased/>
  <w15:docId w15:val="{96761609-5136-4063-96C3-091445A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3B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3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BC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63BC6"/>
    <w:rPr>
      <w:b/>
      <w:bCs/>
    </w:rPr>
  </w:style>
  <w:style w:type="paragraph" w:styleId="NormalWeb">
    <w:name w:val="Normal (Web)"/>
    <w:basedOn w:val="Normal"/>
    <w:uiPriority w:val="99"/>
    <w:unhideWhenUsed/>
    <w:rsid w:val="00F6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3BC6"/>
    <w:rPr>
      <w:color w:val="0000FF"/>
      <w:u w:val="single"/>
    </w:rPr>
  </w:style>
  <w:style w:type="character" w:customStyle="1" w:styleId="foreign">
    <w:name w:val="foreign"/>
    <w:basedOn w:val="DefaultParagraphFont"/>
    <w:rsid w:val="00F63BC6"/>
  </w:style>
  <w:style w:type="character" w:customStyle="1" w:styleId="Heading2Char">
    <w:name w:val="Heading 2 Char"/>
    <w:basedOn w:val="DefaultParagraphFont"/>
    <w:link w:val="Heading2"/>
    <w:uiPriority w:val="9"/>
    <w:rsid w:val="00F63BC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F73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3AF"/>
    <w:pPr>
      <w:ind w:left="720"/>
      <w:contextualSpacing/>
    </w:pPr>
  </w:style>
  <w:style w:type="character" w:styleId="UnresolvedMention">
    <w:name w:val="Unresolved Mention"/>
    <w:basedOn w:val="DefaultParagraphFont"/>
    <w:uiPriority w:val="99"/>
    <w:unhideWhenUsed/>
    <w:rsid w:val="00DC4740"/>
    <w:rPr>
      <w:color w:val="605E5C"/>
      <w:shd w:val="clear" w:color="auto" w:fill="E1DFDD"/>
    </w:rPr>
  </w:style>
  <w:style w:type="character" w:styleId="CommentReference">
    <w:name w:val="annotation reference"/>
    <w:basedOn w:val="DefaultParagraphFont"/>
    <w:uiPriority w:val="99"/>
    <w:semiHidden/>
    <w:unhideWhenUsed/>
    <w:rsid w:val="00B30E79"/>
    <w:rPr>
      <w:sz w:val="16"/>
      <w:szCs w:val="16"/>
    </w:rPr>
  </w:style>
  <w:style w:type="paragraph" w:styleId="CommentText">
    <w:name w:val="annotation text"/>
    <w:basedOn w:val="Normal"/>
    <w:link w:val="CommentTextChar"/>
    <w:uiPriority w:val="99"/>
    <w:semiHidden/>
    <w:unhideWhenUsed/>
    <w:rsid w:val="00B30E79"/>
    <w:pPr>
      <w:spacing w:line="240" w:lineRule="auto"/>
    </w:pPr>
    <w:rPr>
      <w:sz w:val="20"/>
      <w:szCs w:val="20"/>
    </w:rPr>
  </w:style>
  <w:style w:type="character" w:customStyle="1" w:styleId="CommentTextChar">
    <w:name w:val="Comment Text Char"/>
    <w:basedOn w:val="DefaultParagraphFont"/>
    <w:link w:val="CommentText"/>
    <w:uiPriority w:val="99"/>
    <w:semiHidden/>
    <w:rsid w:val="00B30E79"/>
    <w:rPr>
      <w:sz w:val="20"/>
      <w:szCs w:val="20"/>
    </w:rPr>
  </w:style>
  <w:style w:type="paragraph" w:styleId="CommentSubject">
    <w:name w:val="annotation subject"/>
    <w:basedOn w:val="CommentText"/>
    <w:next w:val="CommentText"/>
    <w:link w:val="CommentSubjectChar"/>
    <w:uiPriority w:val="99"/>
    <w:semiHidden/>
    <w:unhideWhenUsed/>
    <w:rsid w:val="00B30E79"/>
    <w:rPr>
      <w:b/>
      <w:bCs/>
    </w:rPr>
  </w:style>
  <w:style w:type="character" w:customStyle="1" w:styleId="CommentSubjectChar">
    <w:name w:val="Comment Subject Char"/>
    <w:basedOn w:val="CommentTextChar"/>
    <w:link w:val="CommentSubject"/>
    <w:uiPriority w:val="99"/>
    <w:semiHidden/>
    <w:rsid w:val="00B30E79"/>
    <w:rPr>
      <w:b/>
      <w:bCs/>
      <w:sz w:val="20"/>
      <w:szCs w:val="20"/>
    </w:rPr>
  </w:style>
  <w:style w:type="paragraph" w:styleId="BalloonText">
    <w:name w:val="Balloon Text"/>
    <w:basedOn w:val="Normal"/>
    <w:link w:val="BalloonTextChar"/>
    <w:uiPriority w:val="99"/>
    <w:semiHidden/>
    <w:unhideWhenUsed/>
    <w:rsid w:val="00B3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79"/>
    <w:rPr>
      <w:rFonts w:ascii="Segoe UI" w:hAnsi="Segoe UI" w:cs="Segoe UI"/>
      <w:sz w:val="18"/>
      <w:szCs w:val="18"/>
    </w:rPr>
  </w:style>
  <w:style w:type="table" w:styleId="TableGrid">
    <w:name w:val="Table Grid"/>
    <w:basedOn w:val="TableNormal"/>
    <w:uiPriority w:val="39"/>
    <w:rsid w:val="00EB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99"/>
  </w:style>
  <w:style w:type="paragraph" w:styleId="Footer">
    <w:name w:val="footer"/>
    <w:basedOn w:val="Normal"/>
    <w:link w:val="FooterChar"/>
    <w:uiPriority w:val="99"/>
    <w:unhideWhenUsed/>
    <w:rsid w:val="006A5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99"/>
  </w:style>
  <w:style w:type="paragraph" w:styleId="FootnoteText">
    <w:name w:val="footnote text"/>
    <w:basedOn w:val="Normal"/>
    <w:link w:val="FootnoteTextChar"/>
    <w:uiPriority w:val="99"/>
    <w:semiHidden/>
    <w:unhideWhenUsed/>
    <w:rsid w:val="00D12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8FF"/>
    <w:rPr>
      <w:sz w:val="20"/>
      <w:szCs w:val="20"/>
    </w:rPr>
  </w:style>
  <w:style w:type="character" w:styleId="FootnoteReference">
    <w:name w:val="footnote reference"/>
    <w:basedOn w:val="DefaultParagraphFont"/>
    <w:uiPriority w:val="99"/>
    <w:semiHidden/>
    <w:unhideWhenUsed/>
    <w:rsid w:val="00D128FF"/>
    <w:rPr>
      <w:vertAlign w:val="superscript"/>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54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68">
      <w:bodyDiv w:val="1"/>
      <w:marLeft w:val="0"/>
      <w:marRight w:val="0"/>
      <w:marTop w:val="0"/>
      <w:marBottom w:val="0"/>
      <w:divBdr>
        <w:top w:val="none" w:sz="0" w:space="0" w:color="auto"/>
        <w:left w:val="none" w:sz="0" w:space="0" w:color="auto"/>
        <w:bottom w:val="none" w:sz="0" w:space="0" w:color="auto"/>
        <w:right w:val="none" w:sz="0" w:space="0" w:color="auto"/>
      </w:divBdr>
    </w:div>
    <w:div w:id="128474915">
      <w:bodyDiv w:val="1"/>
      <w:marLeft w:val="0"/>
      <w:marRight w:val="0"/>
      <w:marTop w:val="0"/>
      <w:marBottom w:val="0"/>
      <w:divBdr>
        <w:top w:val="none" w:sz="0" w:space="0" w:color="auto"/>
        <w:left w:val="none" w:sz="0" w:space="0" w:color="auto"/>
        <w:bottom w:val="none" w:sz="0" w:space="0" w:color="auto"/>
        <w:right w:val="none" w:sz="0" w:space="0" w:color="auto"/>
      </w:divBdr>
    </w:div>
    <w:div w:id="277757812">
      <w:bodyDiv w:val="1"/>
      <w:marLeft w:val="0"/>
      <w:marRight w:val="0"/>
      <w:marTop w:val="0"/>
      <w:marBottom w:val="0"/>
      <w:divBdr>
        <w:top w:val="none" w:sz="0" w:space="0" w:color="auto"/>
        <w:left w:val="none" w:sz="0" w:space="0" w:color="auto"/>
        <w:bottom w:val="none" w:sz="0" w:space="0" w:color="auto"/>
        <w:right w:val="none" w:sz="0" w:space="0" w:color="auto"/>
      </w:divBdr>
    </w:div>
    <w:div w:id="309217716">
      <w:bodyDiv w:val="1"/>
      <w:marLeft w:val="0"/>
      <w:marRight w:val="0"/>
      <w:marTop w:val="0"/>
      <w:marBottom w:val="0"/>
      <w:divBdr>
        <w:top w:val="none" w:sz="0" w:space="0" w:color="auto"/>
        <w:left w:val="none" w:sz="0" w:space="0" w:color="auto"/>
        <w:bottom w:val="none" w:sz="0" w:space="0" w:color="auto"/>
        <w:right w:val="none" w:sz="0" w:space="0" w:color="auto"/>
      </w:divBdr>
    </w:div>
    <w:div w:id="444890345">
      <w:bodyDiv w:val="1"/>
      <w:marLeft w:val="0"/>
      <w:marRight w:val="0"/>
      <w:marTop w:val="0"/>
      <w:marBottom w:val="0"/>
      <w:divBdr>
        <w:top w:val="none" w:sz="0" w:space="0" w:color="auto"/>
        <w:left w:val="none" w:sz="0" w:space="0" w:color="auto"/>
        <w:bottom w:val="none" w:sz="0" w:space="0" w:color="auto"/>
        <w:right w:val="none" w:sz="0" w:space="0" w:color="auto"/>
      </w:divBdr>
    </w:div>
    <w:div w:id="461390016">
      <w:bodyDiv w:val="1"/>
      <w:marLeft w:val="0"/>
      <w:marRight w:val="0"/>
      <w:marTop w:val="0"/>
      <w:marBottom w:val="0"/>
      <w:divBdr>
        <w:top w:val="none" w:sz="0" w:space="0" w:color="auto"/>
        <w:left w:val="none" w:sz="0" w:space="0" w:color="auto"/>
        <w:bottom w:val="none" w:sz="0" w:space="0" w:color="auto"/>
        <w:right w:val="none" w:sz="0" w:space="0" w:color="auto"/>
      </w:divBdr>
    </w:div>
    <w:div w:id="901140316">
      <w:bodyDiv w:val="1"/>
      <w:marLeft w:val="0"/>
      <w:marRight w:val="0"/>
      <w:marTop w:val="0"/>
      <w:marBottom w:val="0"/>
      <w:divBdr>
        <w:top w:val="none" w:sz="0" w:space="0" w:color="auto"/>
        <w:left w:val="none" w:sz="0" w:space="0" w:color="auto"/>
        <w:bottom w:val="none" w:sz="0" w:space="0" w:color="auto"/>
        <w:right w:val="none" w:sz="0" w:space="0" w:color="auto"/>
      </w:divBdr>
    </w:div>
    <w:div w:id="1325015266">
      <w:bodyDiv w:val="1"/>
      <w:marLeft w:val="0"/>
      <w:marRight w:val="0"/>
      <w:marTop w:val="0"/>
      <w:marBottom w:val="0"/>
      <w:divBdr>
        <w:top w:val="none" w:sz="0" w:space="0" w:color="auto"/>
        <w:left w:val="none" w:sz="0" w:space="0" w:color="auto"/>
        <w:bottom w:val="none" w:sz="0" w:space="0" w:color="auto"/>
        <w:right w:val="none" w:sz="0" w:space="0" w:color="auto"/>
      </w:divBdr>
    </w:div>
    <w:div w:id="1527520595">
      <w:bodyDiv w:val="1"/>
      <w:marLeft w:val="0"/>
      <w:marRight w:val="0"/>
      <w:marTop w:val="0"/>
      <w:marBottom w:val="0"/>
      <w:divBdr>
        <w:top w:val="none" w:sz="0" w:space="0" w:color="auto"/>
        <w:left w:val="none" w:sz="0" w:space="0" w:color="auto"/>
        <w:bottom w:val="none" w:sz="0" w:space="0" w:color="auto"/>
        <w:right w:val="none" w:sz="0" w:space="0" w:color="auto"/>
      </w:divBdr>
    </w:div>
    <w:div w:id="1734236008">
      <w:bodyDiv w:val="1"/>
      <w:marLeft w:val="0"/>
      <w:marRight w:val="0"/>
      <w:marTop w:val="0"/>
      <w:marBottom w:val="0"/>
      <w:divBdr>
        <w:top w:val="none" w:sz="0" w:space="0" w:color="auto"/>
        <w:left w:val="none" w:sz="0" w:space="0" w:color="auto"/>
        <w:bottom w:val="none" w:sz="0" w:space="0" w:color="auto"/>
        <w:right w:val="none" w:sz="0" w:space="0" w:color="auto"/>
      </w:divBdr>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
    <w:div w:id="1933783705">
      <w:bodyDiv w:val="1"/>
      <w:marLeft w:val="0"/>
      <w:marRight w:val="0"/>
      <w:marTop w:val="0"/>
      <w:marBottom w:val="0"/>
      <w:divBdr>
        <w:top w:val="none" w:sz="0" w:space="0" w:color="auto"/>
        <w:left w:val="none" w:sz="0" w:space="0" w:color="auto"/>
        <w:bottom w:val="none" w:sz="0" w:space="0" w:color="auto"/>
        <w:right w:val="none" w:sz="0" w:space="0" w:color="auto"/>
      </w:divBdr>
    </w:div>
    <w:div w:id="1977903985">
      <w:bodyDiv w:val="1"/>
      <w:marLeft w:val="0"/>
      <w:marRight w:val="0"/>
      <w:marTop w:val="0"/>
      <w:marBottom w:val="0"/>
      <w:divBdr>
        <w:top w:val="none" w:sz="0" w:space="0" w:color="auto"/>
        <w:left w:val="none" w:sz="0" w:space="0" w:color="auto"/>
        <w:bottom w:val="none" w:sz="0" w:space="0" w:color="auto"/>
        <w:right w:val="none" w:sz="0" w:space="0" w:color="auto"/>
      </w:divBdr>
    </w:div>
    <w:div w:id="20249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428549/HE_providers_-_advice_on_consumer_protection_law.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legislation.gov.uk/uksi/2013/3134/contents/m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08/1277/contents" TargetMode="External"/><Relationship Id="rId5" Type="http://schemas.openxmlformats.org/officeDocument/2006/relationships/numbering" Target="numbering.xml"/><Relationship Id="rId15" Type="http://schemas.openxmlformats.org/officeDocument/2006/relationships/hyperlink" Target="https://one.northumbria.ac.uk/sites/ufc/pages/Welcom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5732/Undergraduate_students_-_your_rights_under_consumer_law.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BDCC48854B642BEBD5C378E6C998A" ma:contentTypeVersion="12" ma:contentTypeDescription="Create a new document." ma:contentTypeScope="" ma:versionID="95049cd0febda310b01cb20db8fc82b7">
  <xsd:schema xmlns:xsd="http://www.w3.org/2001/XMLSchema" xmlns:xs="http://www.w3.org/2001/XMLSchema" xmlns:p="http://schemas.microsoft.com/office/2006/metadata/properties" xmlns:ns2="1dc500f5-3507-4c2d-8844-5d4021bb324e" xmlns:ns3="3ad64a75-cacf-4299-b040-84f893835291" targetNamespace="http://schemas.microsoft.com/office/2006/metadata/properties" ma:root="true" ma:fieldsID="379d037f02ff492d32142fd87325e6ea" ns2:_="" ns3:_="">
    <xsd:import namespace="1dc500f5-3507-4c2d-8844-5d4021bb324e"/>
    <xsd:import namespace="3ad64a75-cacf-4299-b040-84f893835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500f5-3507-4c2d-8844-5d4021bb3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64a75-cacf-4299-b040-84f8938352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73d68a-34a2-45d8-bf90-07cc27f1d9ad}" ma:internalName="TaxCatchAll" ma:showField="CatchAllData" ma:web="3ad64a75-cacf-4299-b040-84f89383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500f5-3507-4c2d-8844-5d4021bb324e">
      <Terms xmlns="http://schemas.microsoft.com/office/infopath/2007/PartnerControls"/>
    </lcf76f155ced4ddcb4097134ff3c332f>
    <TaxCatchAll xmlns="3ad64a75-cacf-4299-b040-84f89383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402E-9CF7-4EF3-B485-3CDB2802C657}"/>
</file>

<file path=customXml/itemProps2.xml><?xml version="1.0" encoding="utf-8"?>
<ds:datastoreItem xmlns:ds="http://schemas.openxmlformats.org/officeDocument/2006/customXml" ds:itemID="{25413502-B21E-4FF0-9183-45246CBB054E}">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732ef9b7-430a-4493-a44b-9e043f8fd6d8"/>
    <ds:schemaRef ds:uri="http://purl.org/dc/terms/"/>
    <ds:schemaRef ds:uri="116fe5e8-0893-4790-a41e-b51ce12737f7"/>
    <ds:schemaRef ds:uri="http://www.w3.org/XML/1998/namespace"/>
    <ds:schemaRef ds:uri="http://purl.org/dc/elements/1.1/"/>
  </ds:schemaRefs>
</ds:datastoreItem>
</file>

<file path=customXml/itemProps3.xml><?xml version="1.0" encoding="utf-8"?>
<ds:datastoreItem xmlns:ds="http://schemas.openxmlformats.org/officeDocument/2006/customXml" ds:itemID="{2A311982-9C00-46B0-B58D-E6E13EC2D820}">
  <ds:schemaRefs>
    <ds:schemaRef ds:uri="http://schemas.microsoft.com/sharepoint/v3/contenttype/forms"/>
  </ds:schemaRefs>
</ds:datastoreItem>
</file>

<file path=customXml/itemProps4.xml><?xml version="1.0" encoding="utf-8"?>
<ds:datastoreItem xmlns:ds="http://schemas.openxmlformats.org/officeDocument/2006/customXml" ds:itemID="{E4C37981-00C4-4E51-BF48-DCA2DF7A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Links>
    <vt:vector size="30" baseType="variant">
      <vt:variant>
        <vt:i4>2883682</vt:i4>
      </vt:variant>
      <vt:variant>
        <vt:i4>12</vt:i4>
      </vt:variant>
      <vt:variant>
        <vt:i4>0</vt:i4>
      </vt:variant>
      <vt:variant>
        <vt:i4>5</vt:i4>
      </vt:variant>
      <vt:variant>
        <vt:lpwstr>https://one.northumbria.ac.uk/sites/ufc/pages/Welcome.aspx</vt:lpwstr>
      </vt:variant>
      <vt:variant>
        <vt:lpwstr/>
      </vt:variant>
      <vt:variant>
        <vt:i4>458832</vt:i4>
      </vt:variant>
      <vt:variant>
        <vt:i4>9</vt:i4>
      </vt:variant>
      <vt:variant>
        <vt:i4>0</vt:i4>
      </vt:variant>
      <vt:variant>
        <vt:i4>5</vt:i4>
      </vt:variant>
      <vt:variant>
        <vt:lpwstr>https://assets.publishing.service.gov.uk/government/uploads/system/uploads/attachment_data/file/415732/Undergraduate_students_-_your_rights_under_consumer_law.pdf</vt:lpwstr>
      </vt:variant>
      <vt:variant>
        <vt:lpwstr/>
      </vt:variant>
      <vt:variant>
        <vt:i4>7929892</vt:i4>
      </vt:variant>
      <vt:variant>
        <vt:i4>6</vt:i4>
      </vt:variant>
      <vt:variant>
        <vt:i4>0</vt:i4>
      </vt:variant>
      <vt:variant>
        <vt:i4>5</vt:i4>
      </vt:variant>
      <vt:variant>
        <vt:lpwstr>https://assets.publishing.service.gov.uk/government/uploads/system/uploads/attachment_data/file/428549/HE_providers_-_advice_on_consumer_protection_law.pdf</vt:lpwstr>
      </vt:variant>
      <vt:variant>
        <vt:lpwstr/>
      </vt:variant>
      <vt:variant>
        <vt:i4>6422565</vt:i4>
      </vt:variant>
      <vt:variant>
        <vt:i4>3</vt:i4>
      </vt:variant>
      <vt:variant>
        <vt:i4>0</vt:i4>
      </vt:variant>
      <vt:variant>
        <vt:i4>5</vt:i4>
      </vt:variant>
      <vt:variant>
        <vt:lpwstr>http://www.legislation.gov.uk/uksi/2013/3134/contents/made</vt:lpwstr>
      </vt:variant>
      <vt:variant>
        <vt:lpwstr/>
      </vt:variant>
      <vt:variant>
        <vt:i4>4718674</vt:i4>
      </vt:variant>
      <vt:variant>
        <vt:i4>0</vt:i4>
      </vt:variant>
      <vt:variant>
        <vt:i4>0</vt:i4>
      </vt:variant>
      <vt:variant>
        <vt:i4>5</vt:i4>
      </vt:variant>
      <vt:variant>
        <vt:lpwstr>http://www.legislation.gov.uk/uksi/2008/1277/contents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Urwin</dc:creator>
  <cp:keywords/>
  <dc:description/>
  <cp:lastModifiedBy>Kelley Evans</cp:lastModifiedBy>
  <cp:revision>3</cp:revision>
  <cp:lastPrinted>2021-06-02T06:42:00Z</cp:lastPrinted>
  <dcterms:created xsi:type="dcterms:W3CDTF">2022-09-08T11:59:00Z</dcterms:created>
  <dcterms:modified xsi:type="dcterms:W3CDTF">2022-09-29T07:54:00Z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0x01010039FBDCC48854B642BEBD5C378E6C998A</vt:lpwstr>
  </property>
</Properties>
</file>