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76" w:rsidRPr="003F5476" w:rsidRDefault="00DB7EA5" w:rsidP="003F5476">
      <w:pPr>
        <w:rPr>
          <w:u w:val="single"/>
        </w:rPr>
      </w:pPr>
      <w:r>
        <w:rPr>
          <w:u w:val="single"/>
        </w:rPr>
        <w:t>P</w:t>
      </w:r>
      <w:r w:rsidR="0062462B">
        <w:rPr>
          <w:u w:val="single"/>
        </w:rPr>
        <w:t>ostgraduate</w:t>
      </w:r>
      <w:r>
        <w:rPr>
          <w:u w:val="single"/>
        </w:rPr>
        <w:t xml:space="preserve"> </w:t>
      </w:r>
      <w:r w:rsidR="00301AFC">
        <w:rPr>
          <w:u w:val="single"/>
        </w:rPr>
        <w:t>Event</w:t>
      </w:r>
      <w:r w:rsidR="00A32333">
        <w:rPr>
          <w:u w:val="single"/>
        </w:rPr>
        <w:t>s</w:t>
      </w:r>
      <w:r>
        <w:rPr>
          <w:u w:val="single"/>
        </w:rPr>
        <w:t xml:space="preserve"> Rep</w:t>
      </w:r>
    </w:p>
    <w:p w:rsidR="00BE208B" w:rsidRPr="00F31A6C" w:rsidRDefault="00A32333" w:rsidP="00204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As a valued member of the</w:t>
      </w:r>
      <w:r w:rsidR="0062462B">
        <w:rPr>
          <w:rFonts w:eastAsia="Times New Roman" w:cstheme="minorHAnsi"/>
          <w:sz w:val="24"/>
          <w:szCs w:val="24"/>
          <w:lang w:eastAsia="en-GB"/>
        </w:rPr>
        <w:t xml:space="preserve"> Postgraduate Marketing Team, Postgraduate</w:t>
      </w:r>
      <w:r>
        <w:rPr>
          <w:rFonts w:eastAsia="Times New Roman" w:cstheme="minorHAnsi"/>
          <w:sz w:val="24"/>
          <w:szCs w:val="24"/>
          <w:lang w:eastAsia="en-GB"/>
        </w:rPr>
        <w:t xml:space="preserve"> Events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n-GB"/>
        </w:rPr>
        <w:t xml:space="preserve">Reps are essential in delivering a wide variety of events across the year. </w:t>
      </w:r>
      <w:r w:rsidR="002041FD" w:rsidRPr="002041FD">
        <w:rPr>
          <w:rFonts w:eastAsia="Times New Roman" w:cstheme="minorHAnsi"/>
          <w:sz w:val="24"/>
          <w:szCs w:val="24"/>
          <w:lang w:eastAsia="en-GB"/>
        </w:rPr>
        <w:t xml:space="preserve">You will </w:t>
      </w:r>
      <w:r>
        <w:rPr>
          <w:rFonts w:eastAsia="Times New Roman" w:cstheme="minorHAnsi"/>
          <w:sz w:val="24"/>
          <w:szCs w:val="24"/>
          <w:lang w:eastAsia="en-GB"/>
        </w:rPr>
        <w:t>help to set up and deliver a range of on-campus events as part of the wider postgraduate recruitment campaign</w:t>
      </w:r>
      <w:r w:rsidR="00FA2A57">
        <w:rPr>
          <w:rFonts w:eastAsia="Times New Roman" w:cstheme="minorHAnsi"/>
          <w:sz w:val="24"/>
          <w:szCs w:val="24"/>
          <w:lang w:eastAsia="en-GB"/>
        </w:rPr>
        <w:t>, encouraging event attendees to study at Northumbria.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FA2A57" w:rsidRDefault="00FA2A57" w:rsidP="00204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Over the recruitment cycle, there</w:t>
      </w:r>
      <w:r w:rsidR="002041FD" w:rsidRPr="002041F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839D3">
        <w:rPr>
          <w:rFonts w:eastAsia="Times New Roman" w:cstheme="minorHAnsi"/>
          <w:sz w:val="24"/>
          <w:szCs w:val="24"/>
          <w:lang w:eastAsia="en-GB"/>
        </w:rPr>
        <w:t xml:space="preserve">will be a number of events that you will get involved in, from small-scale on-campus pop ups, to larger open days and graduation events. You will assist with setting these events up, ensuring that they are well signposted and information is available for attendees. </w:t>
      </w:r>
      <w:r w:rsidR="002041FD" w:rsidRPr="002041FD">
        <w:rPr>
          <w:rFonts w:eastAsia="Times New Roman" w:cstheme="minorHAnsi"/>
          <w:sz w:val="24"/>
          <w:szCs w:val="24"/>
          <w:lang w:eastAsia="en-GB"/>
        </w:rPr>
        <w:t xml:space="preserve">You will </w:t>
      </w:r>
      <w:r w:rsidR="00F839D3">
        <w:rPr>
          <w:rFonts w:eastAsia="Times New Roman" w:cstheme="minorHAnsi"/>
          <w:sz w:val="24"/>
          <w:szCs w:val="24"/>
          <w:lang w:eastAsia="en-GB"/>
        </w:rPr>
        <w:t xml:space="preserve">also </w:t>
      </w:r>
      <w:r w:rsidR="00BE208B" w:rsidRPr="00F31A6C">
        <w:rPr>
          <w:rFonts w:eastAsia="Times New Roman" w:cstheme="minorHAnsi"/>
          <w:sz w:val="24"/>
          <w:szCs w:val="24"/>
          <w:lang w:eastAsia="en-GB"/>
        </w:rPr>
        <w:t xml:space="preserve">act as a point of contact </w:t>
      </w:r>
      <w:r>
        <w:rPr>
          <w:rFonts w:eastAsia="Times New Roman" w:cstheme="minorHAnsi"/>
          <w:sz w:val="24"/>
          <w:szCs w:val="24"/>
          <w:lang w:eastAsia="en-GB"/>
        </w:rPr>
        <w:t xml:space="preserve">for prospective students, providing information about the </w:t>
      </w:r>
      <w:r w:rsidR="00F839D3">
        <w:rPr>
          <w:rFonts w:eastAsia="Times New Roman" w:cstheme="minorHAnsi"/>
          <w:sz w:val="24"/>
          <w:szCs w:val="24"/>
          <w:lang w:eastAsia="en-GB"/>
        </w:rPr>
        <w:t xml:space="preserve">event and the </w:t>
      </w:r>
      <w:r>
        <w:rPr>
          <w:rFonts w:eastAsia="Times New Roman" w:cstheme="minorHAnsi"/>
          <w:sz w:val="24"/>
          <w:szCs w:val="24"/>
          <w:lang w:eastAsia="en-GB"/>
        </w:rPr>
        <w:t xml:space="preserve">University, leading campus tours and talking about your course. </w:t>
      </w:r>
    </w:p>
    <w:p w:rsidR="002041FD" w:rsidRPr="002041FD" w:rsidRDefault="002041FD" w:rsidP="00204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041FD">
        <w:rPr>
          <w:rFonts w:eastAsia="Times New Roman" w:cstheme="minorHAnsi"/>
          <w:sz w:val="24"/>
          <w:szCs w:val="24"/>
          <w:lang w:eastAsia="en-GB"/>
        </w:rPr>
        <w:t xml:space="preserve">If </w:t>
      </w:r>
      <w:r w:rsidR="00F839D3" w:rsidRPr="00260976">
        <w:rPr>
          <w:rFonts w:eastAsia="Times New Roman" w:cstheme="minorHAnsi"/>
          <w:sz w:val="24"/>
          <w:szCs w:val="24"/>
          <w:lang w:eastAsia="en-GB"/>
        </w:rPr>
        <w:t>you’re interested in getting involved</w:t>
      </w:r>
      <w:r w:rsidR="007F7DD1" w:rsidRPr="00260976">
        <w:rPr>
          <w:rFonts w:eastAsia="Times New Roman" w:cstheme="minorHAnsi"/>
          <w:sz w:val="24"/>
          <w:szCs w:val="24"/>
          <w:lang w:eastAsia="en-GB"/>
        </w:rPr>
        <w:t>, promoting Northumbria</w:t>
      </w:r>
      <w:r w:rsidR="00F839D3" w:rsidRPr="00260976">
        <w:rPr>
          <w:rFonts w:eastAsia="Times New Roman" w:cstheme="minorHAnsi"/>
          <w:sz w:val="24"/>
          <w:szCs w:val="24"/>
          <w:lang w:eastAsia="en-GB"/>
        </w:rPr>
        <w:t xml:space="preserve"> and delivering great customer service to prospective students, </w:t>
      </w:r>
      <w:r w:rsidRPr="00260976">
        <w:rPr>
          <w:rFonts w:eastAsia="Times New Roman" w:cstheme="minorHAnsi"/>
          <w:sz w:val="24"/>
          <w:szCs w:val="24"/>
          <w:lang w:eastAsia="en-GB"/>
        </w:rPr>
        <w:t>we want to hear from you. Hourly rate is £</w:t>
      </w:r>
      <w:r w:rsidR="0037141E" w:rsidRPr="00260976">
        <w:rPr>
          <w:rFonts w:eastAsia="Times New Roman" w:cstheme="minorHAnsi"/>
          <w:sz w:val="24"/>
          <w:szCs w:val="24"/>
          <w:lang w:eastAsia="en-GB"/>
        </w:rPr>
        <w:t>8.18</w:t>
      </w:r>
      <w:r w:rsidRPr="00260976">
        <w:rPr>
          <w:rFonts w:eastAsia="Times New Roman" w:cstheme="minorHAnsi"/>
          <w:sz w:val="24"/>
          <w:szCs w:val="24"/>
          <w:lang w:eastAsia="en-GB"/>
        </w:rPr>
        <w:t xml:space="preserve"> or £</w:t>
      </w:r>
      <w:r w:rsidR="0037141E" w:rsidRPr="00260976">
        <w:rPr>
          <w:rFonts w:eastAsia="Times New Roman" w:cstheme="minorHAnsi"/>
          <w:sz w:val="24"/>
          <w:szCs w:val="24"/>
          <w:lang w:eastAsia="en-GB"/>
        </w:rPr>
        <w:t>8.67</w:t>
      </w:r>
      <w:r w:rsidRPr="00260976">
        <w:rPr>
          <w:rFonts w:eastAsia="Times New Roman" w:cstheme="minorHAnsi"/>
          <w:sz w:val="24"/>
          <w:szCs w:val="24"/>
          <w:lang w:eastAsia="en-GB"/>
        </w:rPr>
        <w:t xml:space="preserve"> (for over 25s). </w:t>
      </w:r>
      <w:r w:rsidR="00FA2A57" w:rsidRPr="00260976">
        <w:rPr>
          <w:rFonts w:eastAsia="Times New Roman" w:cstheme="minorHAnsi"/>
          <w:sz w:val="24"/>
          <w:szCs w:val="24"/>
          <w:lang w:eastAsia="en-GB"/>
        </w:rPr>
        <w:t xml:space="preserve">Hours of work will be ad-hoc, dependent on </w:t>
      </w:r>
      <w:r w:rsidR="00F839D3" w:rsidRPr="00260976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FA2A57" w:rsidRPr="00260976">
        <w:rPr>
          <w:rFonts w:eastAsia="Times New Roman" w:cstheme="minorHAnsi"/>
          <w:sz w:val="24"/>
          <w:szCs w:val="24"/>
          <w:lang w:eastAsia="en-GB"/>
        </w:rPr>
        <w:t xml:space="preserve">events </w:t>
      </w:r>
      <w:r w:rsidR="00F839D3" w:rsidRPr="00260976">
        <w:rPr>
          <w:rFonts w:eastAsia="Times New Roman" w:cstheme="minorHAnsi"/>
          <w:sz w:val="24"/>
          <w:szCs w:val="24"/>
          <w:lang w:eastAsia="en-GB"/>
        </w:rPr>
        <w:t>calendar.</w:t>
      </w:r>
    </w:p>
    <w:p w:rsidR="002041FD" w:rsidRDefault="00F839D3" w:rsidP="00204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Please u</w:t>
      </w:r>
      <w:r w:rsidR="002041FD" w:rsidRPr="002041FD">
        <w:rPr>
          <w:rFonts w:eastAsia="Times New Roman" w:cstheme="minorHAnsi"/>
          <w:sz w:val="24"/>
          <w:szCs w:val="24"/>
          <w:lang w:eastAsia="en-GB"/>
        </w:rPr>
        <w:t>pload your CV</w:t>
      </w:r>
      <w:r w:rsidR="00F31A6C">
        <w:rPr>
          <w:rFonts w:eastAsia="Times New Roman" w:cstheme="minorHAnsi"/>
          <w:sz w:val="24"/>
          <w:szCs w:val="24"/>
          <w:lang w:eastAsia="en-GB"/>
        </w:rPr>
        <w:t xml:space="preserve"> and cover letter</w:t>
      </w:r>
      <w:r w:rsidR="002041FD" w:rsidRPr="002041FD">
        <w:rPr>
          <w:rFonts w:eastAsia="Times New Roman" w:cstheme="minorHAnsi"/>
          <w:sz w:val="24"/>
          <w:szCs w:val="24"/>
          <w:lang w:eastAsia="en-GB"/>
        </w:rPr>
        <w:t xml:space="preserve"> to the form below (under 'How to Apply'). </w:t>
      </w:r>
    </w:p>
    <w:p w:rsidR="002041FD" w:rsidRPr="002041FD" w:rsidRDefault="002041FD" w:rsidP="00204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Please note that </w:t>
      </w:r>
      <w:r w:rsidR="00F839D3">
        <w:rPr>
          <w:rFonts w:eastAsia="Times New Roman" w:cstheme="minorHAnsi"/>
          <w:sz w:val="24"/>
          <w:szCs w:val="24"/>
          <w:lang w:eastAsia="en-GB"/>
        </w:rPr>
        <w:t>successful</w:t>
      </w:r>
      <w:r>
        <w:rPr>
          <w:rFonts w:eastAsia="Times New Roman" w:cstheme="minorHAnsi"/>
          <w:sz w:val="24"/>
          <w:szCs w:val="24"/>
          <w:lang w:eastAsia="en-GB"/>
        </w:rPr>
        <w:t xml:space="preserve"> applicants are expected to attend a mandatory training session </w:t>
      </w:r>
      <w:r w:rsidRPr="00260976">
        <w:rPr>
          <w:rFonts w:eastAsia="Times New Roman" w:cstheme="minorHAnsi"/>
          <w:sz w:val="24"/>
          <w:szCs w:val="24"/>
          <w:lang w:eastAsia="en-GB"/>
        </w:rPr>
        <w:t>on Saturday 2</w:t>
      </w:r>
      <w:r w:rsidR="0037141E" w:rsidRPr="00260976">
        <w:rPr>
          <w:rFonts w:eastAsia="Times New Roman" w:cstheme="minorHAnsi"/>
          <w:sz w:val="24"/>
          <w:szCs w:val="24"/>
          <w:lang w:eastAsia="en-GB"/>
        </w:rPr>
        <w:t>0</w:t>
      </w:r>
      <w:r w:rsidR="0037141E" w:rsidRPr="00260976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37141E" w:rsidRPr="0026097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60976">
        <w:rPr>
          <w:rFonts w:eastAsia="Times New Roman" w:cstheme="minorHAnsi"/>
          <w:sz w:val="24"/>
          <w:szCs w:val="24"/>
          <w:lang w:eastAsia="en-GB"/>
        </w:rPr>
        <w:t>October.</w:t>
      </w:r>
    </w:p>
    <w:p w:rsidR="002041FD" w:rsidRPr="002041FD" w:rsidRDefault="002041FD" w:rsidP="00204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041FD">
        <w:rPr>
          <w:rFonts w:eastAsia="Times New Roman" w:cstheme="minorHAnsi"/>
          <w:sz w:val="24"/>
          <w:szCs w:val="24"/>
          <w:lang w:eastAsia="en-GB"/>
        </w:rPr>
        <w:t xml:space="preserve">If you have any enquires please contact, </w:t>
      </w:r>
      <w:hyperlink r:id="rId8" w:history="1">
        <w:r w:rsidR="005B02DC" w:rsidRPr="00DF4121">
          <w:rPr>
            <w:rStyle w:val="Hyperlink"/>
            <w:rFonts w:eastAsia="Times New Roman" w:cstheme="minorHAnsi"/>
            <w:sz w:val="24"/>
            <w:szCs w:val="24"/>
            <w:lang w:eastAsia="en-GB"/>
          </w:rPr>
          <w:t>nu.postgraduate@northumbria.ac.uk</w:t>
        </w:r>
      </w:hyperlink>
      <w:r w:rsidRPr="002041FD">
        <w:rPr>
          <w:rFonts w:eastAsia="Times New Roman" w:cstheme="minorHAnsi"/>
          <w:sz w:val="24"/>
          <w:szCs w:val="24"/>
          <w:lang w:eastAsia="en-GB"/>
        </w:rPr>
        <w:t xml:space="preserve"> before </w:t>
      </w:r>
      <w:r w:rsidR="005B02DC">
        <w:rPr>
          <w:rFonts w:eastAsia="Times New Roman" w:cstheme="minorHAnsi"/>
          <w:sz w:val="24"/>
          <w:szCs w:val="24"/>
          <w:lang w:eastAsia="en-GB"/>
        </w:rPr>
        <w:br/>
      </w:r>
      <w:r w:rsidR="005B02DC" w:rsidRPr="00260976">
        <w:rPr>
          <w:rFonts w:eastAsia="Times New Roman" w:cstheme="minorHAnsi"/>
          <w:sz w:val="24"/>
          <w:szCs w:val="24"/>
          <w:lang w:eastAsia="en-GB"/>
        </w:rPr>
        <w:t xml:space="preserve">Friday </w:t>
      </w:r>
      <w:r w:rsidR="0037141E" w:rsidRPr="00260976">
        <w:rPr>
          <w:rFonts w:eastAsia="Times New Roman" w:cstheme="minorHAnsi"/>
          <w:sz w:val="24"/>
          <w:szCs w:val="24"/>
          <w:lang w:eastAsia="en-GB"/>
        </w:rPr>
        <w:t>28</w:t>
      </w:r>
      <w:r w:rsidR="0037141E" w:rsidRPr="00260976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37141E" w:rsidRPr="00260976">
        <w:rPr>
          <w:rFonts w:eastAsia="Times New Roman" w:cstheme="minorHAnsi"/>
          <w:sz w:val="24"/>
          <w:szCs w:val="24"/>
          <w:lang w:eastAsia="en-GB"/>
        </w:rPr>
        <w:t xml:space="preserve"> September</w:t>
      </w:r>
      <w:r w:rsidRPr="0026097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3F5476" w:rsidRPr="003F5476" w:rsidRDefault="003F5476" w:rsidP="003F5476">
      <w:r w:rsidRPr="003F5476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6DD3B87" wp14:editId="10417DF7">
                <wp:simplePos x="0" y="0"/>
                <wp:positionH relativeFrom="column">
                  <wp:posOffset>19050</wp:posOffset>
                </wp:positionH>
                <wp:positionV relativeFrom="line">
                  <wp:posOffset>92710</wp:posOffset>
                </wp:positionV>
                <wp:extent cx="535305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0C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1BE80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5pt,7.3pt" to="42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" strokecolor="silver" strokeweight="3pt">
                <w10:wrap anchory="line"/>
              </v:line>
            </w:pict>
          </mc:Fallback>
        </mc:AlternateContent>
      </w:r>
    </w:p>
    <w:p w:rsidR="003F5476" w:rsidRPr="003F5476" w:rsidRDefault="003F5476" w:rsidP="003F5476"/>
    <w:tbl>
      <w:tblPr>
        <w:tblW w:w="85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F5476" w:rsidRPr="003F5476" w:rsidTr="003178BE">
        <w:trPr>
          <w:trHeight w:val="4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3F5476" w:rsidP="003F5476">
            <w:r w:rsidRPr="003F5476">
              <w:rPr>
                <w:b/>
                <w:bCs/>
                <w:lang w:val="en-US"/>
              </w:rPr>
              <w:t>Job Title: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7F7DD1" w:rsidP="0062462B">
            <w:r>
              <w:rPr>
                <w:lang w:val="en-US"/>
              </w:rPr>
              <w:t>P</w:t>
            </w:r>
            <w:r w:rsidR="0062462B">
              <w:rPr>
                <w:lang w:val="en-US"/>
              </w:rPr>
              <w:t>ostgraduate</w:t>
            </w:r>
            <w:r>
              <w:rPr>
                <w:lang w:val="en-US"/>
              </w:rPr>
              <w:t xml:space="preserve"> Event</w:t>
            </w:r>
            <w:r w:rsidR="00EF4E9F">
              <w:rPr>
                <w:lang w:val="en-US"/>
              </w:rPr>
              <w:t>s</w:t>
            </w:r>
            <w:r w:rsidR="00CF0CF0">
              <w:rPr>
                <w:lang w:val="en-US"/>
              </w:rPr>
              <w:t xml:space="preserve"> Rep</w:t>
            </w:r>
          </w:p>
        </w:tc>
      </w:tr>
      <w:tr w:rsidR="003F5476" w:rsidRPr="003F5476" w:rsidTr="003178BE">
        <w:trPr>
          <w:trHeight w:val="4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3F5476" w:rsidP="003F5476">
            <w:r w:rsidRPr="003F5476">
              <w:rPr>
                <w:b/>
                <w:bCs/>
                <w:lang w:val="en-US"/>
              </w:rPr>
              <w:t>Grade: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DB7EA5" w:rsidP="003F5476">
            <w:r w:rsidRPr="00260976">
              <w:rPr>
                <w:lang w:val="en-US"/>
              </w:rPr>
              <w:t>Hourly rate (£</w:t>
            </w:r>
            <w:r w:rsidR="0037141E" w:rsidRPr="00260976">
              <w:rPr>
                <w:lang w:val="en-US"/>
              </w:rPr>
              <w:t>8.18</w:t>
            </w:r>
            <w:r w:rsidRPr="00260976">
              <w:rPr>
                <w:lang w:val="en-US"/>
              </w:rPr>
              <w:t xml:space="preserve"> / £</w:t>
            </w:r>
            <w:r w:rsidR="0037141E" w:rsidRPr="00260976">
              <w:rPr>
                <w:lang w:val="en-US"/>
              </w:rPr>
              <w:t>8.67</w:t>
            </w:r>
            <w:r w:rsidRPr="00260976">
              <w:rPr>
                <w:lang w:val="en-US"/>
              </w:rPr>
              <w:t xml:space="preserve">)  </w:t>
            </w:r>
          </w:p>
        </w:tc>
      </w:tr>
      <w:tr w:rsidR="003F5476" w:rsidRPr="003F5476" w:rsidTr="003178BE">
        <w:trPr>
          <w:trHeight w:val="4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3F5476" w:rsidP="003F5476">
            <w:r w:rsidRPr="003F5476">
              <w:rPr>
                <w:b/>
                <w:bCs/>
                <w:lang w:val="en-US"/>
              </w:rPr>
              <w:t>Employment Category: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3F5476" w:rsidP="003F5476">
            <w:pPr>
              <w:rPr>
                <w:lang w:val="en-US"/>
              </w:rPr>
            </w:pPr>
            <w:r w:rsidRPr="003F5476">
              <w:rPr>
                <w:lang w:val="en-US"/>
              </w:rPr>
              <w:t>Casual</w:t>
            </w:r>
          </w:p>
        </w:tc>
      </w:tr>
      <w:tr w:rsidR="003F5476" w:rsidRPr="003F5476" w:rsidTr="003178BE">
        <w:trPr>
          <w:trHeight w:val="4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3F5476" w:rsidP="003F5476">
            <w:r w:rsidRPr="003F5476">
              <w:rPr>
                <w:b/>
                <w:bCs/>
                <w:lang w:val="en-US"/>
              </w:rPr>
              <w:t>Hours: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7F7DD1" w:rsidP="003F5476">
            <w:pPr>
              <w:rPr>
                <w:lang w:val="en-US"/>
              </w:rPr>
            </w:pPr>
            <w:r>
              <w:t>Dependent on event calendar</w:t>
            </w:r>
          </w:p>
        </w:tc>
      </w:tr>
      <w:tr w:rsidR="003F5476" w:rsidRPr="003F5476" w:rsidTr="003178BE">
        <w:trPr>
          <w:trHeight w:val="73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3F5476" w:rsidP="003F5476">
            <w:r w:rsidRPr="003F5476">
              <w:rPr>
                <w:b/>
                <w:bCs/>
                <w:lang w:val="en-US"/>
              </w:rPr>
              <w:t>Responsible to: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Default="003F5476" w:rsidP="00CF0CF0">
            <w:pPr>
              <w:rPr>
                <w:lang w:val="en-US"/>
              </w:rPr>
            </w:pPr>
            <w:r w:rsidRPr="003F5476">
              <w:t xml:space="preserve">Postgraduate </w:t>
            </w:r>
            <w:r w:rsidR="00CF0CF0">
              <w:rPr>
                <w:lang w:val="en-US"/>
              </w:rPr>
              <w:t>Marketing Coordinator</w:t>
            </w:r>
          </w:p>
          <w:p w:rsidR="00790033" w:rsidRPr="003F5476" w:rsidRDefault="00790033" w:rsidP="00790033">
            <w:pPr>
              <w:rPr>
                <w:lang w:val="en-US"/>
              </w:rPr>
            </w:pPr>
            <w:r w:rsidRPr="003F5476">
              <w:t xml:space="preserve">Postgraduate </w:t>
            </w:r>
            <w:r>
              <w:rPr>
                <w:lang w:val="en-US"/>
              </w:rPr>
              <w:t>Marketing Assistant</w:t>
            </w:r>
          </w:p>
        </w:tc>
      </w:tr>
      <w:tr w:rsidR="003F5476" w:rsidRPr="003F5476" w:rsidTr="003178BE">
        <w:trPr>
          <w:trHeight w:val="4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3F5476" w:rsidP="003F5476">
            <w:r w:rsidRPr="003F5476">
              <w:rPr>
                <w:b/>
                <w:bCs/>
                <w:lang w:val="en-US"/>
              </w:rPr>
              <w:t>Location: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476" w:rsidRPr="003F5476" w:rsidRDefault="007F7DD1" w:rsidP="00DB7EA5">
            <w:r>
              <w:rPr>
                <w:lang w:val="en-US"/>
              </w:rPr>
              <w:t>City and Coach Lane Campuses</w:t>
            </w:r>
          </w:p>
        </w:tc>
      </w:tr>
    </w:tbl>
    <w:p w:rsidR="003F5476" w:rsidRPr="003F5476" w:rsidRDefault="003F5476" w:rsidP="003F5476"/>
    <w:p w:rsidR="003F5476" w:rsidRPr="003F5476" w:rsidRDefault="003F5476" w:rsidP="003F5476">
      <w:pPr>
        <w:rPr>
          <w:b/>
          <w:bCs/>
        </w:rPr>
      </w:pPr>
      <w:r w:rsidRPr="003F5476">
        <w:rPr>
          <w:b/>
          <w:bCs/>
          <w:lang w:val="en-US"/>
        </w:rPr>
        <w:t>Purpose of Post:</w:t>
      </w:r>
    </w:p>
    <w:p w:rsidR="005243CD" w:rsidRDefault="003F5476" w:rsidP="003F5476">
      <w:r w:rsidRPr="003F5476">
        <w:rPr>
          <w:lang w:val="en-US"/>
        </w:rPr>
        <w:lastRenderedPageBreak/>
        <w:t xml:space="preserve">To </w:t>
      </w:r>
      <w:r w:rsidR="005B02DC">
        <w:rPr>
          <w:lang w:val="en-US"/>
        </w:rPr>
        <w:t>support</w:t>
      </w:r>
      <w:r w:rsidRPr="003F5476">
        <w:rPr>
          <w:lang w:val="en-US"/>
        </w:rPr>
        <w:t xml:space="preserve"> the </w:t>
      </w:r>
      <w:r w:rsidR="005B02DC">
        <w:t>p</w:t>
      </w:r>
      <w:r w:rsidRPr="003F5476">
        <w:t xml:space="preserve">ostgraduate </w:t>
      </w:r>
      <w:r w:rsidR="005B02DC">
        <w:t xml:space="preserve">student recruitment campaign by </w:t>
      </w:r>
      <w:r w:rsidR="00EF4E9F">
        <w:t>assisting with the successful delivery of recruitment events, acting as an advocate for studying at Northumbria and providing excellent customer service to prospective students</w:t>
      </w:r>
    </w:p>
    <w:p w:rsidR="00666D06" w:rsidRPr="00666D06" w:rsidRDefault="003F5476" w:rsidP="00666D06">
      <w:r w:rsidRPr="003F5476">
        <w:rPr>
          <w:b/>
          <w:bCs/>
          <w:lang w:val="en-US"/>
        </w:rPr>
        <w:t>Responsible for:</w:t>
      </w:r>
    </w:p>
    <w:p w:rsidR="00666D06" w:rsidRPr="003F5476" w:rsidRDefault="007F7DD1" w:rsidP="00790033">
      <w:pPr>
        <w:pStyle w:val="ListParagraph"/>
        <w:numPr>
          <w:ilvl w:val="0"/>
          <w:numId w:val="25"/>
        </w:numPr>
      </w:pPr>
      <w:r>
        <w:rPr>
          <w:lang w:val="en-US"/>
        </w:rPr>
        <w:t>Assisting with event set up</w:t>
      </w:r>
    </w:p>
    <w:p w:rsidR="00666D06" w:rsidRPr="00790033" w:rsidRDefault="007F7DD1" w:rsidP="00790033">
      <w:pPr>
        <w:pStyle w:val="ListParagraph"/>
        <w:numPr>
          <w:ilvl w:val="0"/>
          <w:numId w:val="25"/>
        </w:numPr>
        <w:rPr>
          <w:bCs/>
          <w:lang w:val="en-US"/>
        </w:rPr>
      </w:pPr>
      <w:r>
        <w:rPr>
          <w:bCs/>
          <w:lang w:val="en-US"/>
        </w:rPr>
        <w:t>Providing campus and accommodation tours to visitors</w:t>
      </w:r>
    </w:p>
    <w:p w:rsidR="00666D06" w:rsidRPr="00790033" w:rsidRDefault="00666D06" w:rsidP="00790033">
      <w:pPr>
        <w:pStyle w:val="ListParagraph"/>
        <w:numPr>
          <w:ilvl w:val="0"/>
          <w:numId w:val="25"/>
        </w:numPr>
        <w:rPr>
          <w:bCs/>
          <w:lang w:val="en-US"/>
        </w:rPr>
      </w:pPr>
      <w:r w:rsidRPr="00790033">
        <w:rPr>
          <w:bCs/>
          <w:lang w:val="en-US"/>
        </w:rPr>
        <w:t>Offer</w:t>
      </w:r>
      <w:r w:rsidR="0062462B">
        <w:rPr>
          <w:bCs/>
          <w:lang w:val="en-US"/>
        </w:rPr>
        <w:t>ing</w:t>
      </w:r>
      <w:r w:rsidRPr="00790033">
        <w:rPr>
          <w:bCs/>
          <w:lang w:val="en-US"/>
        </w:rPr>
        <w:t xml:space="preserve"> information and advice to prospective </w:t>
      </w:r>
      <w:r w:rsidR="00790033" w:rsidRPr="00790033">
        <w:rPr>
          <w:bCs/>
          <w:lang w:val="en-US"/>
        </w:rPr>
        <w:t xml:space="preserve">postgraduate </w:t>
      </w:r>
      <w:r w:rsidRPr="00790033">
        <w:rPr>
          <w:bCs/>
          <w:lang w:val="en-US"/>
        </w:rPr>
        <w:t>applicants</w:t>
      </w:r>
    </w:p>
    <w:p w:rsidR="00666D06" w:rsidRDefault="00790033" w:rsidP="003F5476">
      <w:pPr>
        <w:pStyle w:val="ListParagraph"/>
        <w:numPr>
          <w:ilvl w:val="0"/>
          <w:numId w:val="25"/>
        </w:numPr>
        <w:rPr>
          <w:bCs/>
          <w:lang w:val="en-US"/>
        </w:rPr>
      </w:pPr>
      <w:r w:rsidRPr="00790033">
        <w:rPr>
          <w:bCs/>
          <w:lang w:val="en-US"/>
        </w:rPr>
        <w:t>Passionately represent</w:t>
      </w:r>
      <w:r w:rsidR="0006340F">
        <w:rPr>
          <w:bCs/>
          <w:lang w:val="en-US"/>
        </w:rPr>
        <w:t>ing</w:t>
      </w:r>
      <w:r w:rsidRPr="00790033">
        <w:rPr>
          <w:bCs/>
          <w:lang w:val="en-US"/>
        </w:rPr>
        <w:t xml:space="preserve"> the University and encourag</w:t>
      </w:r>
      <w:r w:rsidR="0006340F">
        <w:rPr>
          <w:bCs/>
          <w:lang w:val="en-US"/>
        </w:rPr>
        <w:t>ing</w:t>
      </w:r>
      <w:r w:rsidRPr="00790033">
        <w:rPr>
          <w:bCs/>
          <w:lang w:val="en-US"/>
        </w:rPr>
        <w:t xml:space="preserve"> and inspir</w:t>
      </w:r>
      <w:r w:rsidR="0006340F">
        <w:rPr>
          <w:bCs/>
          <w:lang w:val="en-US"/>
        </w:rPr>
        <w:t>ing</w:t>
      </w:r>
      <w:r w:rsidRPr="00790033">
        <w:rPr>
          <w:bCs/>
          <w:lang w:val="en-US"/>
        </w:rPr>
        <w:t xml:space="preserve"> students to apply for postgraduate</w:t>
      </w:r>
      <w:r w:rsidR="005E3D04">
        <w:rPr>
          <w:bCs/>
          <w:lang w:val="en-US"/>
        </w:rPr>
        <w:t xml:space="preserve"> </w:t>
      </w:r>
      <w:r w:rsidRPr="00790033">
        <w:rPr>
          <w:bCs/>
          <w:lang w:val="en-US"/>
        </w:rPr>
        <w:t>study</w:t>
      </w:r>
    </w:p>
    <w:p w:rsidR="003F5476" w:rsidRPr="003F5476" w:rsidRDefault="003F5476" w:rsidP="003F5476">
      <w:pPr>
        <w:rPr>
          <w:b/>
          <w:bCs/>
        </w:rPr>
      </w:pPr>
      <w:r w:rsidRPr="003F5476">
        <w:rPr>
          <w:b/>
          <w:bCs/>
          <w:lang w:val="en-US"/>
        </w:rPr>
        <w:t>Conditions of Employment</w:t>
      </w:r>
    </w:p>
    <w:p w:rsidR="003F5476" w:rsidRPr="008B4DF6" w:rsidRDefault="003F5476" w:rsidP="003F5476">
      <w:pPr>
        <w:rPr>
          <w:lang w:val="en-US"/>
        </w:rPr>
      </w:pPr>
      <w:r w:rsidRPr="003F5476">
        <w:t>Successful candidates will be active members of the wider Postgraduate Marketing Team, and are expected to represent the University accordingly.</w:t>
      </w:r>
      <w:r w:rsidRPr="003F5476">
        <w:rPr>
          <w:lang w:val="en-US"/>
        </w:rPr>
        <w:t xml:space="preserve"> As an employee you will be subject to the procedures and policies applicable to all staff members including, but not limited to; Equality &amp; Diversity, Health &amp; Saf</w:t>
      </w:r>
      <w:r w:rsidR="008B4DF6">
        <w:rPr>
          <w:lang w:val="en-US"/>
        </w:rPr>
        <w:t>ety and Disciplinary Procedure.</w:t>
      </w:r>
    </w:p>
    <w:p w:rsidR="003F5476" w:rsidRPr="008B4DF6" w:rsidRDefault="003F5476" w:rsidP="00790033">
      <w:r w:rsidRPr="003F5476">
        <w:t xml:space="preserve">Once working hours </w:t>
      </w:r>
      <w:r w:rsidRPr="003F5476">
        <w:rPr>
          <w:lang w:val="en-US"/>
        </w:rPr>
        <w:t xml:space="preserve">and </w:t>
      </w:r>
      <w:r w:rsidR="00790033">
        <w:rPr>
          <w:lang w:val="en-US"/>
        </w:rPr>
        <w:t xml:space="preserve">event attendance </w:t>
      </w:r>
      <w:r w:rsidRPr="003F5476">
        <w:rPr>
          <w:lang w:val="en-US"/>
        </w:rPr>
        <w:t>have been agreed they should not be changed without prior agreement of the</w:t>
      </w:r>
      <w:r w:rsidR="00790033">
        <w:rPr>
          <w:lang w:val="en-US"/>
        </w:rPr>
        <w:t xml:space="preserve"> </w:t>
      </w:r>
      <w:r w:rsidR="00790033" w:rsidRPr="003F5476">
        <w:t xml:space="preserve">Postgraduate </w:t>
      </w:r>
      <w:r w:rsidR="00790033">
        <w:rPr>
          <w:lang w:val="en-US"/>
        </w:rPr>
        <w:t>Marketing Coordinator or P</w:t>
      </w:r>
      <w:proofErr w:type="spellStart"/>
      <w:r w:rsidR="00790033" w:rsidRPr="003F5476">
        <w:t>ostgraduate</w:t>
      </w:r>
      <w:proofErr w:type="spellEnd"/>
      <w:r w:rsidR="00790033" w:rsidRPr="003F5476">
        <w:t xml:space="preserve"> </w:t>
      </w:r>
      <w:r w:rsidR="00790033">
        <w:rPr>
          <w:lang w:val="en-US"/>
        </w:rPr>
        <w:t>Marketing Assistant</w:t>
      </w:r>
      <w:r w:rsidRPr="003F5476">
        <w:rPr>
          <w:lang w:val="en-US"/>
        </w:rPr>
        <w:t xml:space="preserve">. </w:t>
      </w:r>
    </w:p>
    <w:p w:rsidR="003F5476" w:rsidRPr="003F5476" w:rsidRDefault="003F5476" w:rsidP="003F5476">
      <w:pPr>
        <w:rPr>
          <w:b/>
          <w:bCs/>
        </w:rPr>
      </w:pPr>
      <w:r w:rsidRPr="003F5476">
        <w:rPr>
          <w:b/>
          <w:bCs/>
          <w:lang w:val="en-US"/>
        </w:rPr>
        <w:t>Benefits of Employment</w:t>
      </w:r>
    </w:p>
    <w:p w:rsidR="003F5476" w:rsidRPr="008B4DF6" w:rsidRDefault="003F5476" w:rsidP="003F5476">
      <w:r w:rsidRPr="003F5476">
        <w:rPr>
          <w:lang w:val="en-US"/>
        </w:rPr>
        <w:t>In addition to the financial rewards</w:t>
      </w:r>
      <w:r w:rsidRPr="003F5476">
        <w:t>,</w:t>
      </w:r>
      <w:r w:rsidRPr="003F5476">
        <w:rPr>
          <w:lang w:val="en-US"/>
        </w:rPr>
        <w:t xml:space="preserve"> the role offers an excellent opportunity to gain valuable and CV-enhancing work experience in a fast moving</w:t>
      </w:r>
      <w:r w:rsidRPr="003F5476">
        <w:t>, HE</w:t>
      </w:r>
      <w:r w:rsidRPr="003F5476">
        <w:rPr>
          <w:lang w:val="en-US"/>
        </w:rPr>
        <w:t xml:space="preserve"> marketing environment. </w:t>
      </w:r>
    </w:p>
    <w:p w:rsidR="003F5476" w:rsidRPr="003F5476" w:rsidRDefault="003F5476" w:rsidP="003F5476"/>
    <w:p w:rsidR="003F5476" w:rsidRPr="003F5476" w:rsidRDefault="003F5476" w:rsidP="003F5476">
      <w:pPr>
        <w:rPr>
          <w:b/>
          <w:bCs/>
        </w:rPr>
      </w:pPr>
      <w:r w:rsidRPr="003F5476">
        <w:rPr>
          <w:b/>
          <w:bCs/>
          <w:lang w:val="en-US"/>
        </w:rPr>
        <w:t>Location:</w:t>
      </w:r>
    </w:p>
    <w:p w:rsidR="003F5476" w:rsidRPr="003F5476" w:rsidRDefault="003F5476" w:rsidP="007F7DD1">
      <w:r w:rsidRPr="003F5476">
        <w:rPr>
          <w:lang w:val="en-US"/>
        </w:rPr>
        <w:t xml:space="preserve">The role </w:t>
      </w:r>
      <w:r w:rsidR="00676665">
        <w:rPr>
          <w:lang w:val="en-US"/>
        </w:rPr>
        <w:t xml:space="preserve">will be </w:t>
      </w:r>
      <w:r w:rsidR="007F7DD1">
        <w:rPr>
          <w:lang w:val="en-US"/>
        </w:rPr>
        <w:t>event based, taking place in various locations across N</w:t>
      </w:r>
      <w:r w:rsidRPr="003F5476">
        <w:rPr>
          <w:lang w:val="en-US"/>
        </w:rPr>
        <w:t>orthumbria</w:t>
      </w:r>
      <w:r w:rsidRPr="003F5476">
        <w:t>’</w:t>
      </w:r>
      <w:r w:rsidRPr="003F5476">
        <w:rPr>
          <w:lang w:val="en-US"/>
        </w:rPr>
        <w:t>s City and Coach Lane Campuses</w:t>
      </w:r>
    </w:p>
    <w:p w:rsidR="003F5476" w:rsidRPr="003F5476" w:rsidRDefault="003F5476" w:rsidP="003F5476">
      <w:pPr>
        <w:rPr>
          <w:b/>
          <w:bCs/>
        </w:rPr>
      </w:pPr>
      <w:r w:rsidRPr="003F5476">
        <w:rPr>
          <w:b/>
          <w:bCs/>
        </w:rPr>
        <w:t>* Payment</w:t>
      </w:r>
    </w:p>
    <w:p w:rsidR="003F5476" w:rsidRPr="003F5476" w:rsidRDefault="003F5476" w:rsidP="003F5476">
      <w:pPr>
        <w:numPr>
          <w:ilvl w:val="0"/>
          <w:numId w:val="23"/>
        </w:numPr>
      </w:pPr>
      <w:r w:rsidRPr="003F5476">
        <w:rPr>
          <w:lang w:val="en-US"/>
        </w:rPr>
        <w:t xml:space="preserve">You will be paid on a monthly basis on submission of a Casual Claim Form, which you must complete and submit to the </w:t>
      </w:r>
      <w:r w:rsidRPr="003F5476">
        <w:t xml:space="preserve">Postgraduate </w:t>
      </w:r>
      <w:r w:rsidR="005E3D04">
        <w:t xml:space="preserve">Marketing Assistant </w:t>
      </w:r>
      <w:r w:rsidRPr="003F5476">
        <w:rPr>
          <w:lang w:val="en-US"/>
        </w:rPr>
        <w:t>by the 1</w:t>
      </w:r>
      <w:r w:rsidRPr="003F5476">
        <w:rPr>
          <w:vertAlign w:val="superscript"/>
          <w:lang w:val="en-US"/>
        </w:rPr>
        <w:t>st</w:t>
      </w:r>
      <w:r w:rsidRPr="003F5476">
        <w:rPr>
          <w:lang w:val="en-US"/>
        </w:rPr>
        <w:t xml:space="preserve"> of each month. This form will be authorised and then be sent to the Payroll. If this form is not submitted, or submitted late, </w:t>
      </w:r>
      <w:r w:rsidRPr="003F5476">
        <w:t>this may result in a delay to your payment being made</w:t>
      </w:r>
      <w:r w:rsidRPr="003F5476">
        <w:rPr>
          <w:lang w:val="en-US"/>
        </w:rPr>
        <w:t>.</w:t>
      </w:r>
    </w:p>
    <w:p w:rsidR="003F5476" w:rsidRPr="003F5476" w:rsidRDefault="003F5476" w:rsidP="003F5476"/>
    <w:p w:rsidR="003F5476" w:rsidRPr="003F5476" w:rsidRDefault="003F5476" w:rsidP="003F5476">
      <w:pPr>
        <w:rPr>
          <w:b/>
          <w:bCs/>
        </w:rPr>
      </w:pPr>
      <w:r w:rsidRPr="003F5476">
        <w:rPr>
          <w:b/>
          <w:bCs/>
          <w:lang w:val="en-US"/>
        </w:rPr>
        <w:t>Working Hours</w:t>
      </w:r>
    </w:p>
    <w:p w:rsidR="005E3D04" w:rsidRDefault="007F7DD1" w:rsidP="005E3D04">
      <w:pPr>
        <w:rPr>
          <w:bCs/>
          <w:lang w:val="en-US"/>
        </w:rPr>
      </w:pPr>
      <w:r w:rsidRPr="003F5476">
        <w:rPr>
          <w:lang w:val="en-US"/>
        </w:rPr>
        <w:t>The</w:t>
      </w:r>
      <w:r w:rsidRPr="003F5476">
        <w:t xml:space="preserve"> </w:t>
      </w:r>
      <w:r>
        <w:t>working hours are ad-hoc and shifts can be accepted to fit around study and other commitments.</w:t>
      </w:r>
      <w:r w:rsidR="003F5476" w:rsidRPr="003F5476">
        <w:rPr>
          <w:lang w:val="en-US"/>
        </w:rPr>
        <w:t xml:space="preserve"> Please see Contract of Employment for</w:t>
      </w:r>
      <w:r w:rsidR="008B4DF6">
        <w:rPr>
          <w:lang w:val="en-US"/>
        </w:rPr>
        <w:t xml:space="preserve"> details of working guidelines.</w:t>
      </w:r>
      <w:r w:rsidR="005E3D04" w:rsidRPr="005E3D04">
        <w:rPr>
          <w:bCs/>
          <w:lang w:val="en-US"/>
        </w:rPr>
        <w:t xml:space="preserve"> </w:t>
      </w:r>
    </w:p>
    <w:p w:rsidR="005E3D04" w:rsidRDefault="005E3D04" w:rsidP="005E3D04">
      <w:pPr>
        <w:rPr>
          <w:bCs/>
          <w:lang w:val="en-US"/>
        </w:rPr>
      </w:pPr>
    </w:p>
    <w:p w:rsidR="005E3D04" w:rsidRPr="005E3D04" w:rsidRDefault="005E3D04" w:rsidP="005E3D04">
      <w:pPr>
        <w:rPr>
          <w:b/>
          <w:bCs/>
          <w:lang w:val="en-US"/>
        </w:rPr>
      </w:pPr>
      <w:r w:rsidRPr="005E3D04">
        <w:rPr>
          <w:b/>
          <w:bCs/>
          <w:lang w:val="en-US"/>
        </w:rPr>
        <w:t>Person Specification</w:t>
      </w:r>
    </w:p>
    <w:tbl>
      <w:tblPr>
        <w:tblW w:w="92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696"/>
        <w:gridCol w:w="7925"/>
        <w:gridCol w:w="594"/>
      </w:tblGrid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E/D</w:t>
            </w: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1.</w:t>
            </w:r>
          </w:p>
        </w:tc>
        <w:tc>
          <w:tcPr>
            <w:tcW w:w="7925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Specific Knowledge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7F7DD1" w:rsidP="00F628EA">
            <w:pPr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>Have some understanding of:</w:t>
            </w:r>
          </w:p>
          <w:p w:rsidR="007F7DD1" w:rsidRPr="00FD618F" w:rsidRDefault="007F7DD1" w:rsidP="005E3D04">
            <w:pPr>
              <w:numPr>
                <w:ilvl w:val="0"/>
                <w:numId w:val="26"/>
              </w:numPr>
              <w:tabs>
                <w:tab w:val="left" w:pos="415"/>
              </w:tabs>
              <w:spacing w:after="0" w:line="240" w:lineRule="auto"/>
              <w:ind w:left="415" w:hanging="415"/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 xml:space="preserve">The barriers young people may face in entering Higher Education </w:t>
            </w:r>
          </w:p>
          <w:p w:rsidR="007F7DD1" w:rsidRPr="00FD618F" w:rsidRDefault="007F7DD1" w:rsidP="005E3D04">
            <w:pPr>
              <w:numPr>
                <w:ilvl w:val="0"/>
                <w:numId w:val="26"/>
              </w:numPr>
              <w:tabs>
                <w:tab w:val="left" w:pos="415"/>
              </w:tabs>
              <w:spacing w:after="0" w:line="240" w:lineRule="auto"/>
              <w:ind w:left="415" w:hanging="415"/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>Current developments in Higher Education including issues related to widening participation, student finance and appropriate access routes</w:t>
            </w:r>
          </w:p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7F7DD1" w:rsidP="005E3D04">
            <w:pPr>
              <w:numPr>
                <w:ilvl w:val="0"/>
                <w:numId w:val="26"/>
              </w:numPr>
              <w:tabs>
                <w:tab w:val="left" w:pos="415"/>
              </w:tabs>
              <w:spacing w:after="0" w:line="240" w:lineRule="auto"/>
              <w:ind w:left="415" w:hanging="415"/>
              <w:jc w:val="both"/>
              <w:rPr>
                <w:rFonts w:cs="Calibri"/>
              </w:rPr>
            </w:pPr>
            <w:r>
              <w:rPr>
                <w:rFonts w:cs="Calibri"/>
              </w:rPr>
              <w:t>Current experience of a being a postgraduate student</w:t>
            </w:r>
          </w:p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7F7DD1" w:rsidRPr="005C4F4D" w:rsidTr="007F7DD1">
        <w:trPr>
          <w:trHeight w:hRule="exact" w:val="509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7F7DD1" w:rsidP="005E3D04">
            <w:pPr>
              <w:numPr>
                <w:ilvl w:val="0"/>
                <w:numId w:val="26"/>
              </w:numPr>
              <w:tabs>
                <w:tab w:val="left" w:pos="415"/>
              </w:tabs>
              <w:spacing w:after="0" w:line="240" w:lineRule="auto"/>
              <w:ind w:left="415" w:hanging="415"/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 xml:space="preserve">Current </w:t>
            </w:r>
            <w:r>
              <w:rPr>
                <w:rFonts w:cs="Calibri"/>
              </w:rPr>
              <w:t>experience of attending Northumbria University</w:t>
            </w:r>
          </w:p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360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2.</w:t>
            </w:r>
          </w:p>
        </w:tc>
        <w:tc>
          <w:tcPr>
            <w:tcW w:w="7925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 xml:space="preserve">Skills and Abilities 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40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7F7DD1" w:rsidP="005E3D04">
            <w:pPr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>Excellent written and oral communication skills</w:t>
            </w:r>
            <w:r>
              <w:rPr>
                <w:rFonts w:cs="Calibri"/>
              </w:rPr>
              <w:t xml:space="preserve"> </w:t>
            </w:r>
          </w:p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526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B47EE7" w:rsidRDefault="007F7DD1" w:rsidP="005E3D04">
            <w:pPr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>The ability to relate easily to</w:t>
            </w:r>
            <w:r>
              <w:rPr>
                <w:rFonts w:cs="Calibri"/>
              </w:rPr>
              <w:t xml:space="preserve"> a range of people including business,</w:t>
            </w:r>
            <w:r w:rsidRPr="00FD618F">
              <w:rPr>
                <w:rFonts w:cs="Calibri"/>
              </w:rPr>
              <w:t xml:space="preserve"> adults in colleges and the community; university undergraduates; and academic staff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523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5C4F4D" w:rsidRDefault="007F7DD1" w:rsidP="005E3D04">
            <w:pPr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jc w:val="both"/>
              <w:rPr>
                <w:rFonts w:cs="Arial"/>
              </w:rPr>
            </w:pPr>
            <w:r w:rsidRPr="00FD618F">
              <w:rPr>
                <w:rFonts w:cs="Calibri"/>
              </w:rPr>
              <w:t>Be energetic and proactive in promoting the University as a centre of excellenc</w:t>
            </w:r>
            <w:r>
              <w:rPr>
                <w:rFonts w:cs="Calibri"/>
              </w:rPr>
              <w:t>e on and off campus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7F7DD1" w:rsidP="005E3D04">
            <w:pPr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r w:rsidRPr="00FD618F">
              <w:rPr>
                <w:rFonts w:cs="Calibri"/>
              </w:rPr>
              <w:t>The ability to work consistently and without close supervision</w:t>
            </w:r>
          </w:p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531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7F7DD1" w:rsidP="005E3D04">
            <w:pPr>
              <w:numPr>
                <w:ilvl w:val="0"/>
                <w:numId w:val="26"/>
              </w:numPr>
              <w:tabs>
                <w:tab w:val="left" w:pos="400"/>
              </w:tabs>
              <w:spacing w:after="0" w:line="240" w:lineRule="auto"/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>The ability to work independently on your own initiative as well as co-operatively with staff and students in a variety of roles</w:t>
            </w:r>
          </w:p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7F7DD1" w:rsidRDefault="007F7DD1" w:rsidP="007F7DD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</w:rPr>
            </w:pPr>
            <w:r w:rsidRPr="007F7DD1">
              <w:rPr>
                <w:rFonts w:cs="Arial"/>
              </w:rPr>
              <w:t>Strong customer service skills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3.</w:t>
            </w:r>
          </w:p>
        </w:tc>
        <w:tc>
          <w:tcPr>
            <w:tcW w:w="7925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Experience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25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7F7DD1" w:rsidP="005E3D04">
            <w:pPr>
              <w:numPr>
                <w:ilvl w:val="0"/>
                <w:numId w:val="27"/>
              </w:numPr>
              <w:tabs>
                <w:tab w:val="left" w:pos="400"/>
              </w:tabs>
              <w:spacing w:after="0" w:line="240" w:lineRule="auto"/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>Evidence of enthusiasm and positive approach to university life</w:t>
            </w:r>
          </w:p>
          <w:p w:rsidR="007F7DD1" w:rsidRPr="00782C25" w:rsidRDefault="007F7DD1" w:rsidP="00F628EA">
            <w:pPr>
              <w:tabs>
                <w:tab w:val="left" w:pos="4530"/>
              </w:tabs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25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782C25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4.</w:t>
            </w:r>
          </w:p>
        </w:tc>
        <w:tc>
          <w:tcPr>
            <w:tcW w:w="7925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Education/Training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782C25" w:rsidRDefault="007F7DD1" w:rsidP="00EF4E9F">
            <w:pPr>
              <w:numPr>
                <w:ilvl w:val="0"/>
                <w:numId w:val="27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Current student at Northumbria University 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782C25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29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5.</w:t>
            </w:r>
          </w:p>
        </w:tc>
        <w:tc>
          <w:tcPr>
            <w:tcW w:w="7925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  <w:r w:rsidRPr="005C4F4D">
              <w:rPr>
                <w:rFonts w:cs="Arial"/>
                <w:b/>
              </w:rPr>
              <w:t>Other Requirements</w:t>
            </w: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</w:tr>
      <w:tr w:rsidR="007F7DD1" w:rsidRPr="005C4F4D" w:rsidTr="007F7DD1">
        <w:trPr>
          <w:trHeight w:hRule="exact" w:val="643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7F7DD1" w:rsidP="005E3D04">
            <w:pPr>
              <w:numPr>
                <w:ilvl w:val="0"/>
                <w:numId w:val="28"/>
              </w:numPr>
              <w:tabs>
                <w:tab w:val="left" w:pos="415"/>
              </w:tabs>
              <w:spacing w:after="0" w:line="240" w:lineRule="auto"/>
              <w:ind w:left="415" w:hanging="415"/>
              <w:jc w:val="both"/>
              <w:rPr>
                <w:rFonts w:cs="Calibri"/>
              </w:rPr>
            </w:pPr>
            <w:r w:rsidRPr="00FD618F">
              <w:rPr>
                <w:rFonts w:cs="Calibri"/>
              </w:rPr>
              <w:t>A commitment to working with students and other people in accordance with the University’s Equal Opportunities Policy</w:t>
            </w:r>
          </w:p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7F7DD1" w:rsidRPr="005C4F4D" w:rsidTr="007F7DD1">
        <w:trPr>
          <w:trHeight w:hRule="exact" w:val="544"/>
        </w:trPr>
        <w:tc>
          <w:tcPr>
            <w:tcW w:w="696" w:type="dxa"/>
          </w:tcPr>
          <w:p w:rsidR="007F7DD1" w:rsidRPr="005C4F4D" w:rsidRDefault="007F7DD1" w:rsidP="00F628E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925" w:type="dxa"/>
          </w:tcPr>
          <w:p w:rsidR="007F7DD1" w:rsidRPr="00FD618F" w:rsidRDefault="00EF4E9F" w:rsidP="005E3D04">
            <w:pPr>
              <w:numPr>
                <w:ilvl w:val="0"/>
                <w:numId w:val="28"/>
              </w:numPr>
              <w:tabs>
                <w:tab w:val="left" w:pos="415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Willingness </w:t>
            </w:r>
            <w:r w:rsidR="007F7DD1" w:rsidRPr="00FD618F">
              <w:rPr>
                <w:rFonts w:cs="Calibri"/>
              </w:rPr>
              <w:t>to undertake evening and weekend work as required</w:t>
            </w:r>
          </w:p>
          <w:p w:rsidR="007F7DD1" w:rsidRPr="005C4F4D" w:rsidRDefault="007F7DD1" w:rsidP="00F628EA">
            <w:pPr>
              <w:spacing w:after="0"/>
              <w:rPr>
                <w:rFonts w:cs="Arial"/>
              </w:rPr>
            </w:pPr>
          </w:p>
        </w:tc>
        <w:tc>
          <w:tcPr>
            <w:tcW w:w="594" w:type="dxa"/>
          </w:tcPr>
          <w:p w:rsidR="007F7DD1" w:rsidRPr="005C4F4D" w:rsidRDefault="007F7DD1" w:rsidP="00F628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</w:tbl>
    <w:p w:rsidR="00676665" w:rsidRPr="008B4DF6" w:rsidRDefault="00676665" w:rsidP="003F5476">
      <w:pPr>
        <w:rPr>
          <w:lang w:val="en-US"/>
        </w:rPr>
      </w:pPr>
    </w:p>
    <w:sectPr w:rsidR="00676665" w:rsidRPr="008B4D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DB" w:rsidRDefault="00C952DB" w:rsidP="003F5476">
      <w:pPr>
        <w:spacing w:after="0" w:line="240" w:lineRule="auto"/>
      </w:pPr>
      <w:r>
        <w:separator/>
      </w:r>
    </w:p>
  </w:endnote>
  <w:endnote w:type="continuationSeparator" w:id="0">
    <w:p w:rsidR="00C952DB" w:rsidRDefault="00C952DB" w:rsidP="003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DB" w:rsidRDefault="00C952DB" w:rsidP="003F5476">
      <w:pPr>
        <w:spacing w:after="0" w:line="240" w:lineRule="auto"/>
      </w:pPr>
      <w:r>
        <w:separator/>
      </w:r>
    </w:p>
  </w:footnote>
  <w:footnote w:type="continuationSeparator" w:id="0">
    <w:p w:rsidR="00C952DB" w:rsidRDefault="00C952DB" w:rsidP="003F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76" w:rsidRPr="003F5476" w:rsidRDefault="003F5476" w:rsidP="003F547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5F9"/>
    <w:multiLevelType w:val="multilevel"/>
    <w:tmpl w:val="31C487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" w15:restartNumberingAfterBreak="0">
    <w:nsid w:val="02120A09"/>
    <w:multiLevelType w:val="multilevel"/>
    <w:tmpl w:val="75D631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 w15:restartNumberingAfterBreak="0">
    <w:nsid w:val="03D126D1"/>
    <w:multiLevelType w:val="multilevel"/>
    <w:tmpl w:val="9BC439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 w15:restartNumberingAfterBreak="0">
    <w:nsid w:val="040B3E21"/>
    <w:multiLevelType w:val="hybridMultilevel"/>
    <w:tmpl w:val="579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32F5"/>
    <w:multiLevelType w:val="multilevel"/>
    <w:tmpl w:val="4AFE628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0D6A4D24"/>
    <w:multiLevelType w:val="multilevel"/>
    <w:tmpl w:val="31DAE4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 w15:restartNumberingAfterBreak="0">
    <w:nsid w:val="0FB83030"/>
    <w:multiLevelType w:val="multilevel"/>
    <w:tmpl w:val="DFC2B7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 w15:restartNumberingAfterBreak="0">
    <w:nsid w:val="162A7127"/>
    <w:multiLevelType w:val="multilevel"/>
    <w:tmpl w:val="6A6646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" w15:restartNumberingAfterBreak="0">
    <w:nsid w:val="17D91BB6"/>
    <w:multiLevelType w:val="multilevel"/>
    <w:tmpl w:val="ABB866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 w15:restartNumberingAfterBreak="0">
    <w:nsid w:val="1B1825A9"/>
    <w:multiLevelType w:val="hybridMultilevel"/>
    <w:tmpl w:val="6FC4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E27"/>
    <w:multiLevelType w:val="multilevel"/>
    <w:tmpl w:val="E7DEBF40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 w15:restartNumberingAfterBreak="0">
    <w:nsid w:val="27120DF8"/>
    <w:multiLevelType w:val="hybridMultilevel"/>
    <w:tmpl w:val="BE94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5F91"/>
    <w:multiLevelType w:val="multilevel"/>
    <w:tmpl w:val="364ECC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 w15:restartNumberingAfterBreak="0">
    <w:nsid w:val="29654864"/>
    <w:multiLevelType w:val="multilevel"/>
    <w:tmpl w:val="DC9015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 w15:restartNumberingAfterBreak="0">
    <w:nsid w:val="2CDF28CB"/>
    <w:multiLevelType w:val="multilevel"/>
    <w:tmpl w:val="6EEE26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 w15:restartNumberingAfterBreak="0">
    <w:nsid w:val="2F964598"/>
    <w:multiLevelType w:val="multilevel"/>
    <w:tmpl w:val="4C0490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 w15:restartNumberingAfterBreak="0">
    <w:nsid w:val="302255D8"/>
    <w:multiLevelType w:val="multilevel"/>
    <w:tmpl w:val="1D3289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 w15:restartNumberingAfterBreak="0">
    <w:nsid w:val="33980CC8"/>
    <w:multiLevelType w:val="multilevel"/>
    <w:tmpl w:val="EE0ABC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 w15:restartNumberingAfterBreak="0">
    <w:nsid w:val="4D2B3F6C"/>
    <w:multiLevelType w:val="multilevel"/>
    <w:tmpl w:val="9578AC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 w15:restartNumberingAfterBreak="0">
    <w:nsid w:val="4EFB3179"/>
    <w:multiLevelType w:val="multilevel"/>
    <w:tmpl w:val="5254BD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" w15:restartNumberingAfterBreak="0">
    <w:nsid w:val="5964251F"/>
    <w:multiLevelType w:val="multilevel"/>
    <w:tmpl w:val="AF82AA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 w15:restartNumberingAfterBreak="0">
    <w:nsid w:val="5A746930"/>
    <w:multiLevelType w:val="hybridMultilevel"/>
    <w:tmpl w:val="5E0C4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A568B"/>
    <w:multiLevelType w:val="multilevel"/>
    <w:tmpl w:val="AA9CA95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3" w15:restartNumberingAfterBreak="0">
    <w:nsid w:val="6B557BBC"/>
    <w:multiLevelType w:val="hybridMultilevel"/>
    <w:tmpl w:val="510CB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81C65"/>
    <w:multiLevelType w:val="multilevel"/>
    <w:tmpl w:val="0D1670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" w15:restartNumberingAfterBreak="0">
    <w:nsid w:val="740C46C7"/>
    <w:multiLevelType w:val="multilevel"/>
    <w:tmpl w:val="FDF8AF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6" w15:restartNumberingAfterBreak="0">
    <w:nsid w:val="743E4FD4"/>
    <w:multiLevelType w:val="multilevel"/>
    <w:tmpl w:val="7152DB3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 w15:restartNumberingAfterBreak="0">
    <w:nsid w:val="76FE4624"/>
    <w:multiLevelType w:val="multilevel"/>
    <w:tmpl w:val="202E02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18"/>
  </w:num>
  <w:num w:numId="10">
    <w:abstractNumId w:val="14"/>
  </w:num>
  <w:num w:numId="11">
    <w:abstractNumId w:val="8"/>
  </w:num>
  <w:num w:numId="12">
    <w:abstractNumId w:val="19"/>
  </w:num>
  <w:num w:numId="13">
    <w:abstractNumId w:val="16"/>
  </w:num>
  <w:num w:numId="14">
    <w:abstractNumId w:val="20"/>
  </w:num>
  <w:num w:numId="15">
    <w:abstractNumId w:val="7"/>
  </w:num>
  <w:num w:numId="16">
    <w:abstractNumId w:val="24"/>
  </w:num>
  <w:num w:numId="17">
    <w:abstractNumId w:val="12"/>
  </w:num>
  <w:num w:numId="18">
    <w:abstractNumId w:val="17"/>
  </w:num>
  <w:num w:numId="19">
    <w:abstractNumId w:val="26"/>
  </w:num>
  <w:num w:numId="20">
    <w:abstractNumId w:val="5"/>
  </w:num>
  <w:num w:numId="21">
    <w:abstractNumId w:val="25"/>
  </w:num>
  <w:num w:numId="22">
    <w:abstractNumId w:val="22"/>
  </w:num>
  <w:num w:numId="23">
    <w:abstractNumId w:val="10"/>
  </w:num>
  <w:num w:numId="24">
    <w:abstractNumId w:val="3"/>
  </w:num>
  <w:num w:numId="25">
    <w:abstractNumId w:val="9"/>
  </w:num>
  <w:num w:numId="26">
    <w:abstractNumId w:val="11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6"/>
    <w:rsid w:val="00062B73"/>
    <w:rsid w:val="0006340F"/>
    <w:rsid w:val="000A57CF"/>
    <w:rsid w:val="002041FD"/>
    <w:rsid w:val="00260976"/>
    <w:rsid w:val="00301AFC"/>
    <w:rsid w:val="0037141E"/>
    <w:rsid w:val="003F5476"/>
    <w:rsid w:val="005243CD"/>
    <w:rsid w:val="005B02DC"/>
    <w:rsid w:val="005E3D04"/>
    <w:rsid w:val="0062462B"/>
    <w:rsid w:val="00666D06"/>
    <w:rsid w:val="00676665"/>
    <w:rsid w:val="00790033"/>
    <w:rsid w:val="007F7DD1"/>
    <w:rsid w:val="008B4DF6"/>
    <w:rsid w:val="00A30162"/>
    <w:rsid w:val="00A32333"/>
    <w:rsid w:val="00BE208B"/>
    <w:rsid w:val="00C952DB"/>
    <w:rsid w:val="00CF0CF0"/>
    <w:rsid w:val="00D11385"/>
    <w:rsid w:val="00DB7EA5"/>
    <w:rsid w:val="00EF4E9F"/>
    <w:rsid w:val="00F31A6C"/>
    <w:rsid w:val="00F839D3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FC6DC-DBC8-445A-8F52-F2F082E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76"/>
  </w:style>
  <w:style w:type="paragraph" w:styleId="Footer">
    <w:name w:val="footer"/>
    <w:basedOn w:val="Normal"/>
    <w:link w:val="FooterChar"/>
    <w:uiPriority w:val="99"/>
    <w:unhideWhenUsed/>
    <w:rsid w:val="003F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76"/>
  </w:style>
  <w:style w:type="numbering" w:customStyle="1" w:styleId="List0">
    <w:name w:val="List 0"/>
    <w:basedOn w:val="NoList"/>
    <w:rsid w:val="003F5476"/>
    <w:pPr>
      <w:numPr>
        <w:numId w:val="4"/>
      </w:numPr>
    </w:pPr>
  </w:style>
  <w:style w:type="numbering" w:customStyle="1" w:styleId="List21">
    <w:name w:val="List 21"/>
    <w:basedOn w:val="NoList"/>
    <w:rsid w:val="003F5476"/>
    <w:pPr>
      <w:numPr>
        <w:numId w:val="19"/>
      </w:numPr>
    </w:pPr>
  </w:style>
  <w:style w:type="numbering" w:customStyle="1" w:styleId="List31">
    <w:name w:val="List 31"/>
    <w:basedOn w:val="NoList"/>
    <w:rsid w:val="003F5476"/>
    <w:pPr>
      <w:numPr>
        <w:numId w:val="22"/>
      </w:numPr>
    </w:pPr>
  </w:style>
  <w:style w:type="numbering" w:customStyle="1" w:styleId="List41">
    <w:name w:val="List 41"/>
    <w:basedOn w:val="NoList"/>
    <w:rsid w:val="003F5476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rsid w:val="003F54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.postgraduate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CF89-EA00-42A8-89F3-010CEF93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Stevens</dc:creator>
  <cp:keywords/>
  <dc:description/>
  <cp:lastModifiedBy>Lauren Storey</cp:lastModifiedBy>
  <cp:revision>3</cp:revision>
  <dcterms:created xsi:type="dcterms:W3CDTF">2018-09-13T16:03:00Z</dcterms:created>
  <dcterms:modified xsi:type="dcterms:W3CDTF">2018-09-13T16:25:00Z</dcterms:modified>
</cp:coreProperties>
</file>